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A087" w14:textId="4BDA67E3" w:rsidR="00712128" w:rsidRPr="005849DC" w:rsidRDefault="00795A97" w:rsidP="005849DC">
      <w:pPr>
        <w:pStyle w:val="Title"/>
        <w:spacing w:line="242" w:lineRule="auto"/>
        <w:ind w:left="0" w:right="100" w:firstLine="0"/>
        <w:jc w:val="center"/>
      </w:pPr>
      <w:r w:rsidRPr="005849DC">
        <w:t xml:space="preserve">City of Santa Monica </w:t>
      </w:r>
      <w:r w:rsidR="00712128" w:rsidRPr="005849DC">
        <w:t>Community Aquatics Program</w:t>
      </w:r>
    </w:p>
    <w:p w14:paraId="1D578A4F" w14:textId="20FC6BF6" w:rsidR="00795A97" w:rsidRDefault="00795A97" w:rsidP="005849DC">
      <w:pPr>
        <w:pStyle w:val="Title"/>
        <w:spacing w:line="242" w:lineRule="auto"/>
        <w:ind w:left="0" w:right="100" w:firstLine="0"/>
        <w:jc w:val="center"/>
      </w:pPr>
      <w:r>
        <w:t xml:space="preserve"> Pool Allocation Guidelines for Permit</w:t>
      </w:r>
      <w:r>
        <w:rPr>
          <w:spacing w:val="-23"/>
        </w:rPr>
        <w:t xml:space="preserve"> </w:t>
      </w:r>
      <w:r>
        <w:t>Groups</w:t>
      </w:r>
    </w:p>
    <w:p w14:paraId="0EC67ED5" w14:textId="68171734" w:rsidR="00AE1768" w:rsidRDefault="00AE1768" w:rsidP="005849DC">
      <w:pPr>
        <w:pStyle w:val="Title"/>
        <w:spacing w:line="242" w:lineRule="auto"/>
        <w:ind w:left="0" w:right="100" w:firstLine="0"/>
        <w:jc w:val="center"/>
      </w:pPr>
      <w:r>
        <w:t>October</w:t>
      </w:r>
      <w:r w:rsidR="007F2F8B">
        <w:t xml:space="preserve"> 18</w:t>
      </w:r>
      <w:r>
        <w:t>, 2022</w:t>
      </w:r>
    </w:p>
    <w:p w14:paraId="4261B2FE" w14:textId="77777777" w:rsidR="00795A97" w:rsidRDefault="00795A97" w:rsidP="00795A97">
      <w:pPr>
        <w:pStyle w:val="BodyText"/>
        <w:spacing w:before="8"/>
        <w:rPr>
          <w:b/>
          <w:sz w:val="27"/>
        </w:rPr>
      </w:pPr>
    </w:p>
    <w:p w14:paraId="1A3C9942" w14:textId="25E0C394" w:rsidR="00795A97" w:rsidRDefault="00795A97" w:rsidP="005849DC">
      <w:pPr>
        <w:pStyle w:val="BodyText"/>
        <w:spacing w:before="1"/>
        <w:ind w:left="140" w:right="145"/>
        <w:jc w:val="both"/>
        <w:rPr>
          <w:sz w:val="23"/>
        </w:rPr>
      </w:pPr>
      <w:r>
        <w:t>These guidelines pertain to permitting of the</w:t>
      </w:r>
      <w:r w:rsidR="00712128">
        <w:t xml:space="preserve"> </w:t>
      </w:r>
      <w:r w:rsidR="004E5D08">
        <w:t xml:space="preserve">facilities managed by the </w:t>
      </w:r>
      <w:r w:rsidR="00082C72">
        <w:t xml:space="preserve">City of Santa Monica </w:t>
      </w:r>
      <w:r w:rsidR="004E5D08">
        <w:t>Community Aquatics Division.</w:t>
      </w:r>
    </w:p>
    <w:p w14:paraId="1302B6B3" w14:textId="77777777" w:rsidR="00795A97" w:rsidRDefault="00795A97" w:rsidP="00AB79B4">
      <w:pPr>
        <w:pStyle w:val="BodyText"/>
        <w:spacing w:before="3"/>
      </w:pPr>
    </w:p>
    <w:p w14:paraId="6A27A819" w14:textId="77777777" w:rsidR="00795A97" w:rsidRDefault="00795A97" w:rsidP="005849DC">
      <w:pPr>
        <w:pStyle w:val="Heading1"/>
      </w:pPr>
      <w:r>
        <w:rPr>
          <w:u w:val="thick"/>
        </w:rPr>
        <w:t>Mission Statement</w:t>
      </w:r>
    </w:p>
    <w:p w14:paraId="0E68B455" w14:textId="5A1EA712" w:rsidR="00795A97" w:rsidRDefault="00795A97" w:rsidP="00AB79B4">
      <w:pPr>
        <w:pStyle w:val="BodyText"/>
        <w:ind w:left="140" w:right="135"/>
        <w:jc w:val="both"/>
      </w:pPr>
      <w:r>
        <w:t xml:space="preserve">The mission of the City of Santa Monica Community Aquatics Program is to provide comprehensive aquatics programming that meets the needs of the community through highly accessible, enjoyable and varied opportunities for learning and recreation. We strive to offer a safe, responsive and welcoming aquatics environment that promotes the health and well-being of our </w:t>
      </w:r>
      <w:proofErr w:type="gramStart"/>
      <w:r w:rsidR="00082C72">
        <w:t>Cit</w:t>
      </w:r>
      <w:r w:rsidR="006B0D2A">
        <w:t>y’</w:t>
      </w:r>
      <w:r w:rsidR="00082C72">
        <w:t>s</w:t>
      </w:r>
      <w:proofErr w:type="gramEnd"/>
      <w:r>
        <w:t xml:space="preserve"> residents.</w:t>
      </w:r>
    </w:p>
    <w:p w14:paraId="61DACDE9" w14:textId="77777777" w:rsidR="00795A97" w:rsidRDefault="00795A97" w:rsidP="00AB79B4">
      <w:pPr>
        <w:pStyle w:val="BodyText"/>
        <w:spacing w:before="1"/>
      </w:pPr>
    </w:p>
    <w:p w14:paraId="221A43DB" w14:textId="77777777" w:rsidR="00795A97" w:rsidRDefault="00795A97" w:rsidP="005849DC">
      <w:pPr>
        <w:pStyle w:val="Heading1"/>
        <w:spacing w:before="1"/>
      </w:pPr>
      <w:r>
        <w:rPr>
          <w:u w:val="thick"/>
        </w:rPr>
        <w:t xml:space="preserve">Priority Use System </w:t>
      </w:r>
    </w:p>
    <w:p w14:paraId="100AE34A" w14:textId="64FC4BD5" w:rsidR="003D4584" w:rsidRDefault="00B53F65" w:rsidP="001012FC">
      <w:pPr>
        <w:pStyle w:val="BodyText"/>
        <w:ind w:left="140" w:right="238"/>
        <w:jc w:val="both"/>
      </w:pPr>
      <w:r>
        <w:t>The f</w:t>
      </w:r>
      <w:r w:rsidR="00795A97">
        <w:t xml:space="preserve">ollowing is a list of user </w:t>
      </w:r>
      <w:r w:rsidR="00082C72">
        <w:t>categories</w:t>
      </w:r>
      <w:r w:rsidR="00795A97">
        <w:t xml:space="preserve"> in priority order. This priority list </w:t>
      </w:r>
      <w:r w:rsidR="00712128">
        <w:t>is</w:t>
      </w:r>
      <w:r w:rsidR="00795A97">
        <w:t xml:space="preserve"> used as a guide in allocating pool space, while still ensuring a balance of programming is offered for the residents of Santa Monica. Definitions for each user category are</w:t>
      </w:r>
      <w:r w:rsidR="00F13AD0">
        <w:t xml:space="preserve"> in the appendix to the annual City Council Master Fee resolution titled Community Services – Facility User Categories. </w:t>
      </w:r>
      <w:r w:rsidR="003D4584">
        <w:t>In 2022 these priorities are:</w:t>
      </w:r>
    </w:p>
    <w:p w14:paraId="64B887F0" w14:textId="3DF6129B" w:rsidR="00795A97" w:rsidRDefault="003D4584" w:rsidP="00BF223B">
      <w:pPr>
        <w:pStyle w:val="BodyText"/>
        <w:spacing w:before="240"/>
        <w:ind w:left="144" w:right="245"/>
        <w:jc w:val="both"/>
        <w:rPr>
          <w:sz w:val="23"/>
        </w:rPr>
      </w:pPr>
      <w:r>
        <w:t>Santa Monica Swim Center</w:t>
      </w:r>
    </w:p>
    <w:p w14:paraId="1643F043"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City of Santa Monica</w:t>
      </w:r>
      <w:r>
        <w:rPr>
          <w:spacing w:val="-4"/>
          <w:sz w:val="24"/>
        </w:rPr>
        <w:t xml:space="preserve"> </w:t>
      </w:r>
      <w:r>
        <w:rPr>
          <w:sz w:val="24"/>
        </w:rPr>
        <w:t>Programs</w:t>
      </w:r>
    </w:p>
    <w:p w14:paraId="4764E74C"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Santa Monica College</w:t>
      </w:r>
      <w:r>
        <w:rPr>
          <w:spacing w:val="-5"/>
          <w:sz w:val="24"/>
        </w:rPr>
        <w:t xml:space="preserve"> </w:t>
      </w:r>
      <w:r>
        <w:rPr>
          <w:sz w:val="24"/>
        </w:rPr>
        <w:t>(SMC)*</w:t>
      </w:r>
    </w:p>
    <w:p w14:paraId="050A27DA"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Santa Monica-Malibu Unified School District</w:t>
      </w:r>
      <w:r>
        <w:rPr>
          <w:spacing w:val="-6"/>
          <w:sz w:val="24"/>
        </w:rPr>
        <w:t xml:space="preserve"> </w:t>
      </w:r>
      <w:r>
        <w:rPr>
          <w:sz w:val="24"/>
        </w:rPr>
        <w:t>(SMMUSD)</w:t>
      </w:r>
    </w:p>
    <w:p w14:paraId="71A7967B"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Santa Monica-based Non-Profit Organizations – Youth aquatics/sports</w:t>
      </w:r>
      <w:r>
        <w:rPr>
          <w:spacing w:val="-15"/>
          <w:sz w:val="24"/>
        </w:rPr>
        <w:t xml:space="preserve"> </w:t>
      </w:r>
      <w:r>
        <w:rPr>
          <w:sz w:val="24"/>
        </w:rPr>
        <w:t>programs</w:t>
      </w:r>
    </w:p>
    <w:p w14:paraId="4544E70B"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Non-Santa Monica-based, Non-Profit Organizations permitting the Swim Center 2,000 hours or more annually – Youth Aquatics/Sports</w:t>
      </w:r>
      <w:r>
        <w:rPr>
          <w:spacing w:val="-7"/>
          <w:sz w:val="24"/>
        </w:rPr>
        <w:t xml:space="preserve"> </w:t>
      </w:r>
      <w:r>
        <w:rPr>
          <w:sz w:val="24"/>
        </w:rPr>
        <w:t>Programs</w:t>
      </w:r>
    </w:p>
    <w:p w14:paraId="7F605C4C"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Santa Monica-based Primary and Secondary Private</w:t>
      </w:r>
      <w:r>
        <w:rPr>
          <w:spacing w:val="-10"/>
          <w:sz w:val="24"/>
        </w:rPr>
        <w:t xml:space="preserve"> </w:t>
      </w:r>
      <w:r>
        <w:rPr>
          <w:sz w:val="24"/>
        </w:rPr>
        <w:t>Schools</w:t>
      </w:r>
    </w:p>
    <w:p w14:paraId="2EC1BE81"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Santa Monica-based Non-Profit Organizations – Adult aquatics/sports</w:t>
      </w:r>
      <w:r>
        <w:rPr>
          <w:spacing w:val="-14"/>
          <w:sz w:val="24"/>
        </w:rPr>
        <w:t xml:space="preserve"> </w:t>
      </w:r>
      <w:r>
        <w:rPr>
          <w:sz w:val="24"/>
        </w:rPr>
        <w:t>programs</w:t>
      </w:r>
    </w:p>
    <w:p w14:paraId="59B62E1B" w14:textId="77777777" w:rsidR="00795A97" w:rsidRDefault="00795A97" w:rsidP="00BF223B">
      <w:pPr>
        <w:pStyle w:val="ListParagraph"/>
        <w:numPr>
          <w:ilvl w:val="0"/>
          <w:numId w:val="5"/>
        </w:numPr>
        <w:tabs>
          <w:tab w:val="left" w:pos="1080"/>
        </w:tabs>
        <w:spacing w:before="120"/>
        <w:ind w:left="1080" w:right="14" w:hanging="576"/>
        <w:contextualSpacing w:val="0"/>
        <w:rPr>
          <w:sz w:val="24"/>
        </w:rPr>
      </w:pPr>
      <w:r>
        <w:rPr>
          <w:sz w:val="24"/>
        </w:rPr>
        <w:t>Non-Santa Monica-based Non-Profit Organizations permitting the Swim Center 2,000 hours or more annually - Adult Aquatics</w:t>
      </w:r>
      <w:r>
        <w:rPr>
          <w:spacing w:val="-6"/>
          <w:sz w:val="24"/>
        </w:rPr>
        <w:t xml:space="preserve"> </w:t>
      </w:r>
      <w:r>
        <w:rPr>
          <w:sz w:val="24"/>
        </w:rPr>
        <w:t>Programs</w:t>
      </w:r>
    </w:p>
    <w:p w14:paraId="0AB6FA7B" w14:textId="77777777" w:rsidR="00EC141B" w:rsidRDefault="00795A97" w:rsidP="00BF223B">
      <w:pPr>
        <w:pStyle w:val="ListParagraph"/>
        <w:numPr>
          <w:ilvl w:val="0"/>
          <w:numId w:val="5"/>
        </w:numPr>
        <w:tabs>
          <w:tab w:val="left" w:pos="1080"/>
        </w:tabs>
        <w:spacing w:before="120"/>
        <w:ind w:left="1080" w:right="14" w:hanging="576"/>
        <w:contextualSpacing w:val="0"/>
        <w:rPr>
          <w:sz w:val="24"/>
        </w:rPr>
      </w:pPr>
      <w:r>
        <w:rPr>
          <w:sz w:val="24"/>
        </w:rPr>
        <w:t xml:space="preserve">Other Santa Monica-based Organizations and Businesses </w:t>
      </w:r>
    </w:p>
    <w:p w14:paraId="5EA40CA3" w14:textId="24349130" w:rsidR="00EC141B" w:rsidRDefault="00795A97" w:rsidP="00BF223B">
      <w:pPr>
        <w:pStyle w:val="ListParagraph"/>
        <w:numPr>
          <w:ilvl w:val="0"/>
          <w:numId w:val="5"/>
        </w:numPr>
        <w:tabs>
          <w:tab w:val="left" w:pos="1080"/>
        </w:tabs>
        <w:spacing w:before="120"/>
        <w:ind w:left="1080" w:right="14" w:hanging="576"/>
        <w:contextualSpacing w:val="0"/>
        <w:rPr>
          <w:sz w:val="24"/>
        </w:rPr>
      </w:pPr>
      <w:r>
        <w:rPr>
          <w:sz w:val="24"/>
        </w:rPr>
        <w:t xml:space="preserve">Other Non-Santa Monica-based Organizations and Businesses </w:t>
      </w:r>
    </w:p>
    <w:p w14:paraId="0F9A088F" w14:textId="0FB29FDA" w:rsidR="004F0A89" w:rsidRPr="00BF223B" w:rsidRDefault="00795A97" w:rsidP="00BF223B">
      <w:pPr>
        <w:pStyle w:val="ListParagraph"/>
        <w:numPr>
          <w:ilvl w:val="0"/>
          <w:numId w:val="5"/>
        </w:numPr>
        <w:tabs>
          <w:tab w:val="left" w:pos="1080"/>
        </w:tabs>
        <w:spacing w:before="120"/>
        <w:ind w:left="1080" w:right="14" w:hanging="576"/>
        <w:contextualSpacing w:val="0"/>
        <w:rPr>
          <w:sz w:val="24"/>
        </w:rPr>
      </w:pPr>
      <w:r>
        <w:rPr>
          <w:sz w:val="24"/>
        </w:rPr>
        <w:t>Filming</w:t>
      </w:r>
    </w:p>
    <w:p w14:paraId="542F3257" w14:textId="52AB37A0" w:rsidR="003D4584" w:rsidRDefault="003D4584" w:rsidP="00BF223B">
      <w:pPr>
        <w:pStyle w:val="BodyText"/>
        <w:tabs>
          <w:tab w:val="left" w:pos="1080"/>
        </w:tabs>
        <w:spacing w:before="240"/>
        <w:ind w:left="1080" w:right="14" w:hanging="994"/>
        <w:jc w:val="both"/>
        <w:rPr>
          <w:sz w:val="23"/>
        </w:rPr>
      </w:pPr>
      <w:r>
        <w:t>SMMUSD Aquatic Facilities</w:t>
      </w:r>
    </w:p>
    <w:p w14:paraId="31AB22CD" w14:textId="77777777" w:rsidR="003D4584" w:rsidRDefault="003D4584" w:rsidP="00BF223B">
      <w:pPr>
        <w:pStyle w:val="ListParagraph"/>
        <w:numPr>
          <w:ilvl w:val="0"/>
          <w:numId w:val="15"/>
        </w:numPr>
        <w:tabs>
          <w:tab w:val="left" w:pos="1080"/>
        </w:tabs>
        <w:spacing w:before="120"/>
        <w:ind w:left="1080" w:right="14" w:hanging="581"/>
        <w:contextualSpacing w:val="0"/>
        <w:rPr>
          <w:sz w:val="24"/>
        </w:rPr>
      </w:pPr>
      <w:r>
        <w:rPr>
          <w:sz w:val="24"/>
        </w:rPr>
        <w:t>City of Santa Monica</w:t>
      </w:r>
      <w:r>
        <w:rPr>
          <w:spacing w:val="-4"/>
          <w:sz w:val="24"/>
        </w:rPr>
        <w:t xml:space="preserve"> </w:t>
      </w:r>
      <w:r>
        <w:rPr>
          <w:sz w:val="24"/>
        </w:rPr>
        <w:t>Programs</w:t>
      </w:r>
    </w:p>
    <w:p w14:paraId="36F205B4" w14:textId="77777777" w:rsidR="003D4584" w:rsidRDefault="003D4584" w:rsidP="00BF223B">
      <w:pPr>
        <w:pStyle w:val="ListParagraph"/>
        <w:numPr>
          <w:ilvl w:val="0"/>
          <w:numId w:val="15"/>
        </w:numPr>
        <w:tabs>
          <w:tab w:val="left" w:pos="1080"/>
        </w:tabs>
        <w:spacing w:before="121"/>
        <w:ind w:left="1080" w:right="18" w:hanging="581"/>
        <w:contextualSpacing w:val="0"/>
        <w:rPr>
          <w:sz w:val="24"/>
        </w:rPr>
      </w:pPr>
      <w:r>
        <w:rPr>
          <w:sz w:val="24"/>
        </w:rPr>
        <w:t>Santa Monica-Malibu Unified School District</w:t>
      </w:r>
      <w:r>
        <w:rPr>
          <w:spacing w:val="-6"/>
          <w:sz w:val="24"/>
        </w:rPr>
        <w:t xml:space="preserve"> </w:t>
      </w:r>
      <w:r>
        <w:rPr>
          <w:sz w:val="24"/>
        </w:rPr>
        <w:t>(SMMUSD)</w:t>
      </w:r>
    </w:p>
    <w:p w14:paraId="0D62DB3B" w14:textId="77777777" w:rsidR="003D4584" w:rsidRDefault="003D4584" w:rsidP="00BF223B">
      <w:pPr>
        <w:pStyle w:val="ListParagraph"/>
        <w:numPr>
          <w:ilvl w:val="0"/>
          <w:numId w:val="15"/>
        </w:numPr>
        <w:tabs>
          <w:tab w:val="left" w:pos="1080"/>
        </w:tabs>
        <w:spacing w:before="120"/>
        <w:ind w:left="1080" w:right="18" w:hanging="581"/>
        <w:contextualSpacing w:val="0"/>
        <w:rPr>
          <w:sz w:val="24"/>
        </w:rPr>
      </w:pPr>
      <w:r>
        <w:rPr>
          <w:sz w:val="24"/>
        </w:rPr>
        <w:t>Santa Monica College</w:t>
      </w:r>
      <w:r>
        <w:rPr>
          <w:spacing w:val="-5"/>
          <w:sz w:val="24"/>
        </w:rPr>
        <w:t xml:space="preserve"> </w:t>
      </w:r>
      <w:r>
        <w:rPr>
          <w:sz w:val="24"/>
        </w:rPr>
        <w:t>(SMC)*</w:t>
      </w:r>
    </w:p>
    <w:p w14:paraId="09F0D89E" w14:textId="77777777" w:rsidR="003D4584" w:rsidRDefault="003D4584" w:rsidP="00BF223B">
      <w:pPr>
        <w:pStyle w:val="ListParagraph"/>
        <w:numPr>
          <w:ilvl w:val="0"/>
          <w:numId w:val="15"/>
        </w:numPr>
        <w:tabs>
          <w:tab w:val="left" w:pos="1080"/>
        </w:tabs>
        <w:spacing w:before="120"/>
        <w:ind w:left="1080" w:right="18" w:hanging="581"/>
        <w:contextualSpacing w:val="0"/>
        <w:rPr>
          <w:sz w:val="24"/>
        </w:rPr>
      </w:pPr>
      <w:r>
        <w:rPr>
          <w:sz w:val="24"/>
        </w:rPr>
        <w:t>Santa Monica-based Non-Profit Organizations – Youth aquatics/sports</w:t>
      </w:r>
      <w:r>
        <w:rPr>
          <w:spacing w:val="-15"/>
          <w:sz w:val="24"/>
        </w:rPr>
        <w:t xml:space="preserve"> </w:t>
      </w:r>
      <w:r>
        <w:rPr>
          <w:sz w:val="24"/>
        </w:rPr>
        <w:t>programs</w:t>
      </w:r>
    </w:p>
    <w:p w14:paraId="77B2EAEE" w14:textId="77777777" w:rsidR="003D4584" w:rsidRDefault="003D4584" w:rsidP="00BF223B">
      <w:pPr>
        <w:pStyle w:val="ListParagraph"/>
        <w:numPr>
          <w:ilvl w:val="0"/>
          <w:numId w:val="15"/>
        </w:numPr>
        <w:tabs>
          <w:tab w:val="left" w:pos="1080"/>
        </w:tabs>
        <w:spacing w:before="117"/>
        <w:ind w:left="1080" w:right="18" w:hanging="581"/>
        <w:contextualSpacing w:val="0"/>
        <w:rPr>
          <w:sz w:val="24"/>
        </w:rPr>
      </w:pPr>
      <w:r>
        <w:rPr>
          <w:sz w:val="24"/>
        </w:rPr>
        <w:lastRenderedPageBreak/>
        <w:t>Non-Santa Monica-based, Non-Profit Organizations permitting the Swim Center 2,000 hours or more annually – Youth Aquatics/Sports</w:t>
      </w:r>
      <w:r>
        <w:rPr>
          <w:spacing w:val="-7"/>
          <w:sz w:val="24"/>
        </w:rPr>
        <w:t xml:space="preserve"> </w:t>
      </w:r>
      <w:r>
        <w:rPr>
          <w:sz w:val="24"/>
        </w:rPr>
        <w:t>Programs</w:t>
      </w:r>
    </w:p>
    <w:p w14:paraId="25EB9BE2" w14:textId="77777777" w:rsidR="003D4584" w:rsidRDefault="003D4584" w:rsidP="00BF223B">
      <w:pPr>
        <w:pStyle w:val="ListParagraph"/>
        <w:numPr>
          <w:ilvl w:val="0"/>
          <w:numId w:val="15"/>
        </w:numPr>
        <w:tabs>
          <w:tab w:val="left" w:pos="1080"/>
        </w:tabs>
        <w:spacing w:before="120"/>
        <w:ind w:left="1080" w:right="18" w:hanging="581"/>
        <w:contextualSpacing w:val="0"/>
        <w:rPr>
          <w:sz w:val="24"/>
        </w:rPr>
      </w:pPr>
      <w:r>
        <w:rPr>
          <w:sz w:val="24"/>
        </w:rPr>
        <w:t>Santa Monica-based Primary and Secondary Private</w:t>
      </w:r>
      <w:r>
        <w:rPr>
          <w:spacing w:val="-10"/>
          <w:sz w:val="24"/>
        </w:rPr>
        <w:t xml:space="preserve"> </w:t>
      </w:r>
      <w:r>
        <w:rPr>
          <w:sz w:val="24"/>
        </w:rPr>
        <w:t>Schools</w:t>
      </w:r>
    </w:p>
    <w:p w14:paraId="5AC7E479" w14:textId="77777777" w:rsidR="003D4584" w:rsidRDefault="003D4584" w:rsidP="00BF223B">
      <w:pPr>
        <w:pStyle w:val="ListParagraph"/>
        <w:numPr>
          <w:ilvl w:val="0"/>
          <w:numId w:val="15"/>
        </w:numPr>
        <w:tabs>
          <w:tab w:val="left" w:pos="1080"/>
        </w:tabs>
        <w:spacing w:before="120"/>
        <w:ind w:left="1080" w:right="18" w:hanging="581"/>
        <w:contextualSpacing w:val="0"/>
        <w:rPr>
          <w:sz w:val="24"/>
        </w:rPr>
      </w:pPr>
      <w:r>
        <w:rPr>
          <w:sz w:val="24"/>
        </w:rPr>
        <w:t>Santa Monica-based Non-Profit Organizations – Adult aquatics/sports</w:t>
      </w:r>
      <w:r>
        <w:rPr>
          <w:spacing w:val="-14"/>
          <w:sz w:val="24"/>
        </w:rPr>
        <w:t xml:space="preserve"> </w:t>
      </w:r>
      <w:r>
        <w:rPr>
          <w:sz w:val="24"/>
        </w:rPr>
        <w:t>programs</w:t>
      </w:r>
    </w:p>
    <w:p w14:paraId="4194D8B6" w14:textId="77777777" w:rsidR="003D4584" w:rsidRDefault="003D4584" w:rsidP="00BF223B">
      <w:pPr>
        <w:pStyle w:val="ListParagraph"/>
        <w:numPr>
          <w:ilvl w:val="0"/>
          <w:numId w:val="15"/>
        </w:numPr>
        <w:tabs>
          <w:tab w:val="left" w:pos="1080"/>
        </w:tabs>
        <w:spacing w:before="120"/>
        <w:ind w:left="1080" w:right="18" w:hanging="581"/>
        <w:contextualSpacing w:val="0"/>
        <w:rPr>
          <w:sz w:val="24"/>
        </w:rPr>
      </w:pPr>
      <w:r>
        <w:rPr>
          <w:sz w:val="24"/>
        </w:rPr>
        <w:t>Non-Santa Monica-based Non-Profit Organizations permitting the Swim Center 2,000 hours or more annually - Adult Aquatics</w:t>
      </w:r>
      <w:r>
        <w:rPr>
          <w:spacing w:val="-6"/>
          <w:sz w:val="24"/>
        </w:rPr>
        <w:t xml:space="preserve"> </w:t>
      </w:r>
      <w:r>
        <w:rPr>
          <w:sz w:val="24"/>
        </w:rPr>
        <w:t>Programs</w:t>
      </w:r>
    </w:p>
    <w:p w14:paraId="40D3D573" w14:textId="77777777" w:rsidR="003D4584" w:rsidRDefault="003D4584" w:rsidP="00BF223B">
      <w:pPr>
        <w:pStyle w:val="ListParagraph"/>
        <w:numPr>
          <w:ilvl w:val="0"/>
          <w:numId w:val="15"/>
        </w:numPr>
        <w:tabs>
          <w:tab w:val="left" w:pos="1080"/>
        </w:tabs>
        <w:spacing w:before="120"/>
        <w:ind w:left="1080" w:right="14" w:hanging="576"/>
        <w:contextualSpacing w:val="0"/>
        <w:rPr>
          <w:sz w:val="24"/>
        </w:rPr>
      </w:pPr>
      <w:r>
        <w:rPr>
          <w:sz w:val="24"/>
        </w:rPr>
        <w:t>Other Santa Monica-based Organizations and Businesses</w:t>
      </w:r>
    </w:p>
    <w:p w14:paraId="493361C8" w14:textId="0D81CF44" w:rsidR="00EC141B" w:rsidRDefault="003D4584" w:rsidP="00BF223B">
      <w:pPr>
        <w:pStyle w:val="ListParagraph"/>
        <w:numPr>
          <w:ilvl w:val="0"/>
          <w:numId w:val="15"/>
        </w:numPr>
        <w:tabs>
          <w:tab w:val="left" w:pos="1080"/>
        </w:tabs>
        <w:spacing w:before="120"/>
        <w:ind w:left="1080" w:right="14" w:hanging="576"/>
        <w:contextualSpacing w:val="0"/>
        <w:rPr>
          <w:sz w:val="24"/>
        </w:rPr>
      </w:pPr>
      <w:r>
        <w:rPr>
          <w:sz w:val="24"/>
        </w:rPr>
        <w:t>Other Non-Santa Monica-based Organizations and Businesse</w:t>
      </w:r>
      <w:r w:rsidR="00EC141B">
        <w:rPr>
          <w:sz w:val="24"/>
        </w:rPr>
        <w:t>s</w:t>
      </w:r>
    </w:p>
    <w:p w14:paraId="1B11A33D" w14:textId="47F92AE3" w:rsidR="00EC141B" w:rsidRPr="00BF223B" w:rsidRDefault="003D4584" w:rsidP="00BF223B">
      <w:pPr>
        <w:pStyle w:val="ListParagraph"/>
        <w:numPr>
          <w:ilvl w:val="0"/>
          <w:numId w:val="15"/>
        </w:numPr>
        <w:spacing w:before="120"/>
        <w:ind w:left="1080" w:hanging="576"/>
        <w:contextualSpacing w:val="0"/>
        <w:rPr>
          <w:sz w:val="24"/>
        </w:rPr>
      </w:pPr>
      <w:r w:rsidRPr="00BF223B">
        <w:rPr>
          <w:sz w:val="24"/>
        </w:rPr>
        <w:t>Filming</w:t>
      </w:r>
    </w:p>
    <w:p w14:paraId="2E095146" w14:textId="77777777" w:rsidR="00B73AD6" w:rsidRPr="005849DC" w:rsidRDefault="00B73AD6" w:rsidP="00BF223B">
      <w:pPr>
        <w:pStyle w:val="ListParagraph"/>
        <w:numPr>
          <w:ilvl w:val="0"/>
          <w:numId w:val="15"/>
        </w:numPr>
        <w:spacing w:before="120"/>
        <w:contextualSpacing w:val="0"/>
        <w:rPr>
          <w:szCs w:val="24"/>
        </w:rPr>
        <w:sectPr w:rsidR="00B73AD6" w:rsidRPr="005849DC" w:rsidSect="005849DC">
          <w:footerReference w:type="default" r:id="rId8"/>
          <w:type w:val="continuous"/>
          <w:pgSz w:w="12240" w:h="15840" w:code="1"/>
          <w:pgMar w:top="1080" w:right="1296" w:bottom="1080" w:left="1296" w:header="720" w:footer="720" w:gutter="0"/>
          <w:pgNumType w:start="1"/>
          <w:cols w:space="720"/>
        </w:sectPr>
      </w:pPr>
    </w:p>
    <w:p w14:paraId="367FB92E" w14:textId="2EF41B1A" w:rsidR="00795A97" w:rsidRPr="000F105A" w:rsidRDefault="00EC141B" w:rsidP="00BF223B">
      <w:pPr>
        <w:widowControl/>
        <w:autoSpaceDE/>
        <w:autoSpaceDN/>
      </w:pPr>
      <w:r>
        <w:rPr>
          <w:sz w:val="24"/>
          <w:szCs w:val="24"/>
        </w:rPr>
        <w:t>*Use of the facility by Santa Monica College is governed by the City of Santa Monica-</w:t>
      </w:r>
      <w:r w:rsidR="00795A97" w:rsidRPr="000F105A">
        <w:rPr>
          <w:sz w:val="24"/>
          <w:szCs w:val="24"/>
        </w:rPr>
        <w:t>Santa Monica College Joint Use Agreement, which specifies the college’s seasonal use of the Fitness and Splash pools.</w:t>
      </w:r>
      <w:r w:rsidR="000F105A" w:rsidRPr="000F105A">
        <w:rPr>
          <w:sz w:val="24"/>
          <w:szCs w:val="24"/>
        </w:rPr>
        <w:t xml:space="preserve"> Additional hours for SMC outside of the Joint Use Agreement hours </w:t>
      </w:r>
      <w:r w:rsidR="00096D3B">
        <w:rPr>
          <w:sz w:val="24"/>
          <w:szCs w:val="24"/>
        </w:rPr>
        <w:t>can</w:t>
      </w:r>
      <w:r w:rsidR="000F105A" w:rsidRPr="000F105A">
        <w:rPr>
          <w:sz w:val="24"/>
          <w:szCs w:val="24"/>
        </w:rPr>
        <w:t xml:space="preserve"> be allocated when requested if they do not displace an already allocated program unless it is fo</w:t>
      </w:r>
      <w:r w:rsidR="004E5D08">
        <w:rPr>
          <w:sz w:val="24"/>
          <w:szCs w:val="24"/>
        </w:rPr>
        <w:t>r special events</w:t>
      </w:r>
      <w:r w:rsidR="000F105A" w:rsidRPr="000F105A">
        <w:rPr>
          <w:sz w:val="24"/>
          <w:szCs w:val="24"/>
        </w:rPr>
        <w:t xml:space="preserve"> with at least two weeks advanced notice</w:t>
      </w:r>
      <w:r w:rsidR="00082C72">
        <w:rPr>
          <w:sz w:val="24"/>
          <w:szCs w:val="24"/>
        </w:rPr>
        <w:t>.</w:t>
      </w:r>
    </w:p>
    <w:p w14:paraId="5CEFEFE1" w14:textId="77777777" w:rsidR="00795A97" w:rsidRDefault="00795A97" w:rsidP="00395BD5">
      <w:pPr>
        <w:pStyle w:val="BodyText"/>
        <w:spacing w:before="4"/>
      </w:pPr>
    </w:p>
    <w:p w14:paraId="7BD2603A" w14:textId="77777777" w:rsidR="00795A97" w:rsidRDefault="00795A97" w:rsidP="00795A97">
      <w:pPr>
        <w:pStyle w:val="Heading1"/>
        <w:spacing w:line="275" w:lineRule="exact"/>
      </w:pPr>
      <w:r>
        <w:rPr>
          <w:u w:val="thick"/>
        </w:rPr>
        <w:t xml:space="preserve">Lane Allocation Considerations </w:t>
      </w:r>
    </w:p>
    <w:p w14:paraId="749D026A" w14:textId="632AA15D" w:rsidR="00086525" w:rsidRDefault="00795A97" w:rsidP="00795A97">
      <w:pPr>
        <w:pStyle w:val="BodyText"/>
        <w:spacing w:before="8"/>
        <w:rPr>
          <w:sz w:val="23"/>
        </w:rPr>
      </w:pPr>
      <w:r>
        <w:t>Groups in good financial standing with the City of Santa Monica will be allocated pool time utilizing the Priority Use System as a framework. Although this system provides a framework for allocation, the City of Santa Monica Community Aquatics staff will allocate pool space with the goal of ensuring that a balance of activities and opportunities are available to residents. Users may not monopolize desirable pool time so as to jeopardize a variety of programming opportunities being offered to the residents of Santa Monica</w:t>
      </w:r>
      <w:r w:rsidR="00794EF5">
        <w:t>.</w:t>
      </w:r>
    </w:p>
    <w:p w14:paraId="79738ECA" w14:textId="77777777" w:rsidR="00086525" w:rsidRDefault="00086525" w:rsidP="005849DC">
      <w:pPr>
        <w:pStyle w:val="BodyText"/>
        <w:ind w:right="139"/>
        <w:jc w:val="both"/>
      </w:pPr>
    </w:p>
    <w:p w14:paraId="6139E0D4" w14:textId="550213BC" w:rsidR="00086525" w:rsidRDefault="002A1E17" w:rsidP="005849DC">
      <w:pPr>
        <w:widowControl/>
        <w:autoSpaceDE/>
        <w:autoSpaceDN/>
        <w:ind w:left="540"/>
        <w:rPr>
          <w:rFonts w:eastAsiaTheme="minorHAnsi"/>
          <w:b/>
          <w:bCs/>
          <w:sz w:val="24"/>
          <w:szCs w:val="24"/>
        </w:rPr>
      </w:pPr>
      <w:r>
        <w:rPr>
          <w:rFonts w:eastAsiaTheme="minorHAnsi"/>
          <w:b/>
          <w:bCs/>
          <w:sz w:val="24"/>
          <w:szCs w:val="24"/>
        </w:rPr>
        <w:t xml:space="preserve">3.1 </w:t>
      </w:r>
      <w:r w:rsidR="00086525" w:rsidRPr="005849DC">
        <w:rPr>
          <w:rFonts w:eastAsiaTheme="minorHAnsi"/>
          <w:b/>
          <w:bCs/>
          <w:sz w:val="24"/>
          <w:szCs w:val="24"/>
        </w:rPr>
        <w:t>Lane Allocation Percentages for a Balance of Programming</w:t>
      </w:r>
    </w:p>
    <w:p w14:paraId="391ECDD4" w14:textId="4EE4BF8E" w:rsidR="00CB3A91" w:rsidRPr="005849DC" w:rsidRDefault="00CB3A91" w:rsidP="00BF223B">
      <w:pPr>
        <w:widowControl/>
        <w:autoSpaceDE/>
        <w:autoSpaceDN/>
        <w:ind w:left="900"/>
        <w:rPr>
          <w:rFonts w:eastAsiaTheme="minorHAnsi"/>
          <w:sz w:val="24"/>
          <w:szCs w:val="24"/>
        </w:rPr>
      </w:pPr>
      <w:r>
        <w:rPr>
          <w:rFonts w:eastAsiaTheme="minorHAnsi"/>
          <w:sz w:val="24"/>
          <w:szCs w:val="24"/>
        </w:rPr>
        <w:t>The following percentages are approximately what the distribution was during 2018 and 2019.</w:t>
      </w:r>
    </w:p>
    <w:p w14:paraId="26891F3D" w14:textId="2CB4CFBA" w:rsidR="00BC0425" w:rsidRPr="005849DC" w:rsidRDefault="00BC0425" w:rsidP="005849DC">
      <w:pPr>
        <w:widowControl/>
        <w:autoSpaceDE/>
        <w:autoSpaceDN/>
        <w:rPr>
          <w:rFonts w:eastAsiaTheme="minorHAnsi"/>
          <w:sz w:val="24"/>
          <w:szCs w:val="24"/>
        </w:rPr>
      </w:pPr>
    </w:p>
    <w:tbl>
      <w:tblPr>
        <w:tblStyle w:val="TableGrid"/>
        <w:tblW w:w="7920" w:type="dxa"/>
        <w:tblInd w:w="625" w:type="dxa"/>
        <w:tblLayout w:type="fixed"/>
        <w:tblLook w:val="04A0" w:firstRow="1" w:lastRow="0" w:firstColumn="1" w:lastColumn="0" w:noHBand="0" w:noVBand="1"/>
      </w:tblPr>
      <w:tblGrid>
        <w:gridCol w:w="3240"/>
        <w:gridCol w:w="1710"/>
        <w:gridCol w:w="2970"/>
      </w:tblGrid>
      <w:tr w:rsidR="00794EF5" w:rsidRPr="00903F4E" w14:paraId="39E4279D" w14:textId="77777777" w:rsidTr="00794EF5">
        <w:tc>
          <w:tcPr>
            <w:tcW w:w="3240" w:type="dxa"/>
          </w:tcPr>
          <w:p w14:paraId="4D8D87DD" w14:textId="77777777" w:rsidR="00794EF5" w:rsidRPr="009B2EDC" w:rsidRDefault="00794EF5" w:rsidP="00395BD5">
            <w:pPr>
              <w:widowControl/>
              <w:autoSpaceDE/>
              <w:autoSpaceDN/>
              <w:ind w:left="540"/>
              <w:rPr>
                <w:rFonts w:eastAsiaTheme="minorHAnsi"/>
              </w:rPr>
            </w:pPr>
          </w:p>
        </w:tc>
        <w:tc>
          <w:tcPr>
            <w:tcW w:w="1710" w:type="dxa"/>
          </w:tcPr>
          <w:p w14:paraId="49A20D9D" w14:textId="37642116" w:rsidR="00794EF5" w:rsidRPr="00CB3A91" w:rsidRDefault="00794EF5" w:rsidP="005849DC">
            <w:pPr>
              <w:widowControl/>
              <w:autoSpaceDE/>
              <w:autoSpaceDN/>
              <w:jc w:val="center"/>
              <w:rPr>
                <w:rFonts w:eastAsiaTheme="minorHAnsi"/>
                <w:b/>
                <w:bCs/>
              </w:rPr>
            </w:pPr>
            <w:r w:rsidRPr="00CB3A91">
              <w:rPr>
                <w:rFonts w:eastAsiaTheme="minorHAnsi"/>
                <w:b/>
                <w:bCs/>
              </w:rPr>
              <w:t>Summer</w:t>
            </w:r>
          </w:p>
        </w:tc>
        <w:tc>
          <w:tcPr>
            <w:tcW w:w="2970" w:type="dxa"/>
          </w:tcPr>
          <w:p w14:paraId="68F12230" w14:textId="49E517B5" w:rsidR="00794EF5" w:rsidRPr="00CB3A91" w:rsidRDefault="00794EF5" w:rsidP="005849DC">
            <w:pPr>
              <w:widowControl/>
              <w:autoSpaceDE/>
              <w:autoSpaceDN/>
              <w:ind w:left="76" w:firstLine="166"/>
              <w:jc w:val="center"/>
              <w:rPr>
                <w:rFonts w:eastAsiaTheme="minorHAnsi"/>
                <w:b/>
                <w:bCs/>
              </w:rPr>
            </w:pPr>
            <w:r w:rsidRPr="00CB3A91">
              <w:rPr>
                <w:rFonts w:eastAsiaTheme="minorHAnsi"/>
                <w:b/>
                <w:bCs/>
              </w:rPr>
              <w:t>Fall/Winter/Spring</w:t>
            </w:r>
          </w:p>
        </w:tc>
      </w:tr>
      <w:tr w:rsidR="00794EF5" w:rsidRPr="00903F4E" w14:paraId="3A373389" w14:textId="77777777" w:rsidTr="00794EF5">
        <w:tc>
          <w:tcPr>
            <w:tcW w:w="3240" w:type="dxa"/>
          </w:tcPr>
          <w:p w14:paraId="00D0837D" w14:textId="7929D220" w:rsidR="00794EF5" w:rsidRPr="009B2EDC" w:rsidRDefault="00794EF5" w:rsidP="00395BD5">
            <w:pPr>
              <w:widowControl/>
              <w:autoSpaceDE/>
              <w:autoSpaceDN/>
              <w:ind w:left="75"/>
              <w:rPr>
                <w:rFonts w:eastAsiaTheme="minorHAnsi"/>
              </w:rPr>
            </w:pPr>
            <w:r w:rsidRPr="009B2EDC">
              <w:rPr>
                <w:rFonts w:eastAsiaTheme="minorHAnsi"/>
              </w:rPr>
              <w:t>City</w:t>
            </w:r>
            <w:r>
              <w:rPr>
                <w:rFonts w:eastAsiaTheme="minorHAnsi"/>
              </w:rPr>
              <w:t xml:space="preserve"> Use</w:t>
            </w:r>
          </w:p>
        </w:tc>
        <w:tc>
          <w:tcPr>
            <w:tcW w:w="1710" w:type="dxa"/>
          </w:tcPr>
          <w:p w14:paraId="5A50F088" w14:textId="7A555BE1" w:rsidR="00794EF5" w:rsidRPr="009B2EDC" w:rsidRDefault="00794EF5" w:rsidP="00395BD5">
            <w:pPr>
              <w:widowControl/>
              <w:autoSpaceDE/>
              <w:autoSpaceDN/>
              <w:ind w:left="166"/>
              <w:jc w:val="center"/>
              <w:rPr>
                <w:rFonts w:eastAsiaTheme="minorHAnsi"/>
              </w:rPr>
            </w:pPr>
            <w:r>
              <w:rPr>
                <w:rFonts w:eastAsiaTheme="minorHAnsi"/>
              </w:rPr>
              <w:t>84%</w:t>
            </w:r>
          </w:p>
        </w:tc>
        <w:tc>
          <w:tcPr>
            <w:tcW w:w="2970" w:type="dxa"/>
          </w:tcPr>
          <w:p w14:paraId="6E286BFE" w14:textId="53152447" w:rsidR="00794EF5" w:rsidRPr="009B2EDC" w:rsidRDefault="00794EF5" w:rsidP="005849DC">
            <w:pPr>
              <w:widowControl/>
              <w:autoSpaceDE/>
              <w:autoSpaceDN/>
              <w:ind w:left="76" w:firstLine="166"/>
              <w:jc w:val="center"/>
              <w:rPr>
                <w:rFonts w:eastAsiaTheme="minorHAnsi"/>
              </w:rPr>
            </w:pPr>
            <w:r>
              <w:rPr>
                <w:rFonts w:eastAsiaTheme="minorHAnsi"/>
              </w:rPr>
              <w:t>5</w:t>
            </w:r>
            <w:r w:rsidR="00D14F56">
              <w:rPr>
                <w:rFonts w:eastAsiaTheme="minorHAnsi"/>
              </w:rPr>
              <w:t>9</w:t>
            </w:r>
            <w:r>
              <w:rPr>
                <w:rFonts w:eastAsiaTheme="minorHAnsi"/>
              </w:rPr>
              <w:t>%</w:t>
            </w:r>
          </w:p>
        </w:tc>
      </w:tr>
      <w:tr w:rsidR="00794EF5" w:rsidRPr="00903F4E" w14:paraId="1614C90D" w14:textId="77777777" w:rsidTr="00794EF5">
        <w:tc>
          <w:tcPr>
            <w:tcW w:w="3240" w:type="dxa"/>
          </w:tcPr>
          <w:p w14:paraId="3C227ACA" w14:textId="3B9F8E71" w:rsidR="00794EF5" w:rsidRPr="009B2EDC" w:rsidRDefault="00794EF5" w:rsidP="00395BD5">
            <w:pPr>
              <w:widowControl/>
              <w:autoSpaceDE/>
              <w:autoSpaceDN/>
              <w:ind w:left="75"/>
              <w:rPr>
                <w:rFonts w:eastAsiaTheme="minorHAnsi"/>
              </w:rPr>
            </w:pPr>
            <w:r w:rsidRPr="009B2EDC">
              <w:rPr>
                <w:rFonts w:eastAsiaTheme="minorHAnsi"/>
              </w:rPr>
              <w:t>SMC</w:t>
            </w:r>
          </w:p>
        </w:tc>
        <w:tc>
          <w:tcPr>
            <w:tcW w:w="1710" w:type="dxa"/>
          </w:tcPr>
          <w:p w14:paraId="11CD5F3E" w14:textId="73284962" w:rsidR="00794EF5" w:rsidRPr="009B2EDC" w:rsidRDefault="00794EF5" w:rsidP="00395BD5">
            <w:pPr>
              <w:widowControl/>
              <w:autoSpaceDE/>
              <w:autoSpaceDN/>
              <w:ind w:left="166"/>
              <w:jc w:val="center"/>
              <w:rPr>
                <w:rFonts w:eastAsiaTheme="minorHAnsi"/>
              </w:rPr>
            </w:pPr>
            <w:r>
              <w:rPr>
                <w:rFonts w:eastAsiaTheme="minorHAnsi"/>
              </w:rPr>
              <w:t>0%</w:t>
            </w:r>
          </w:p>
        </w:tc>
        <w:tc>
          <w:tcPr>
            <w:tcW w:w="2970" w:type="dxa"/>
          </w:tcPr>
          <w:p w14:paraId="0ECB886C" w14:textId="211B5487" w:rsidR="00794EF5" w:rsidRPr="009B2EDC" w:rsidRDefault="00794EF5" w:rsidP="005849DC">
            <w:pPr>
              <w:widowControl/>
              <w:autoSpaceDE/>
              <w:autoSpaceDN/>
              <w:ind w:left="76" w:firstLine="166"/>
              <w:jc w:val="center"/>
              <w:rPr>
                <w:rFonts w:eastAsiaTheme="minorHAnsi"/>
              </w:rPr>
            </w:pPr>
            <w:r>
              <w:rPr>
                <w:rFonts w:eastAsiaTheme="minorHAnsi"/>
              </w:rPr>
              <w:t>2</w:t>
            </w:r>
            <w:r w:rsidR="00D14F56">
              <w:rPr>
                <w:rFonts w:eastAsiaTheme="minorHAnsi"/>
              </w:rPr>
              <w:t>4</w:t>
            </w:r>
            <w:r>
              <w:rPr>
                <w:rFonts w:eastAsiaTheme="minorHAnsi"/>
              </w:rPr>
              <w:t>%</w:t>
            </w:r>
          </w:p>
        </w:tc>
      </w:tr>
      <w:tr w:rsidR="00794EF5" w:rsidRPr="00903F4E" w14:paraId="08ED7469" w14:textId="77777777" w:rsidTr="00794EF5">
        <w:tc>
          <w:tcPr>
            <w:tcW w:w="3240" w:type="dxa"/>
          </w:tcPr>
          <w:p w14:paraId="69CFF37B" w14:textId="537A2BCE" w:rsidR="00794EF5" w:rsidRPr="009B2EDC" w:rsidRDefault="00794EF5" w:rsidP="00395BD5">
            <w:pPr>
              <w:widowControl/>
              <w:autoSpaceDE/>
              <w:autoSpaceDN/>
              <w:ind w:left="75"/>
              <w:rPr>
                <w:rFonts w:eastAsiaTheme="minorHAnsi"/>
              </w:rPr>
            </w:pPr>
            <w:r>
              <w:rPr>
                <w:rFonts w:eastAsiaTheme="minorHAnsi"/>
              </w:rPr>
              <w:t>SMMUSD</w:t>
            </w:r>
          </w:p>
        </w:tc>
        <w:tc>
          <w:tcPr>
            <w:tcW w:w="1710" w:type="dxa"/>
          </w:tcPr>
          <w:p w14:paraId="69BC9F7B" w14:textId="2DC55F98" w:rsidR="00794EF5" w:rsidRPr="009B2EDC" w:rsidRDefault="00230D37" w:rsidP="00395BD5">
            <w:pPr>
              <w:widowControl/>
              <w:autoSpaceDE/>
              <w:autoSpaceDN/>
              <w:ind w:left="166"/>
              <w:jc w:val="center"/>
              <w:rPr>
                <w:rFonts w:eastAsiaTheme="minorHAnsi"/>
              </w:rPr>
            </w:pPr>
            <w:r>
              <w:rPr>
                <w:rFonts w:eastAsiaTheme="minorHAnsi"/>
              </w:rPr>
              <w:t>0%</w:t>
            </w:r>
          </w:p>
        </w:tc>
        <w:tc>
          <w:tcPr>
            <w:tcW w:w="2970" w:type="dxa"/>
          </w:tcPr>
          <w:p w14:paraId="043F1DCF" w14:textId="097CF0E1" w:rsidR="00794EF5" w:rsidRPr="009B2EDC" w:rsidRDefault="00230D37" w:rsidP="005849DC">
            <w:pPr>
              <w:widowControl/>
              <w:autoSpaceDE/>
              <w:autoSpaceDN/>
              <w:ind w:left="76" w:firstLine="166"/>
              <w:jc w:val="center"/>
              <w:rPr>
                <w:rFonts w:eastAsiaTheme="minorHAnsi"/>
              </w:rPr>
            </w:pPr>
            <w:r>
              <w:rPr>
                <w:rFonts w:eastAsiaTheme="minorHAnsi"/>
              </w:rPr>
              <w:t>1%</w:t>
            </w:r>
          </w:p>
        </w:tc>
      </w:tr>
      <w:tr w:rsidR="00794EF5" w:rsidRPr="00903F4E" w14:paraId="31400535" w14:textId="77777777" w:rsidTr="00794EF5">
        <w:tc>
          <w:tcPr>
            <w:tcW w:w="3240" w:type="dxa"/>
          </w:tcPr>
          <w:p w14:paraId="0BFEC87D" w14:textId="771834E5" w:rsidR="00794EF5" w:rsidRPr="009B2EDC" w:rsidRDefault="00794EF5" w:rsidP="00395BD5">
            <w:pPr>
              <w:widowControl/>
              <w:autoSpaceDE/>
              <w:autoSpaceDN/>
              <w:ind w:left="75"/>
              <w:rPr>
                <w:rFonts w:eastAsiaTheme="minorHAnsi"/>
              </w:rPr>
            </w:pPr>
            <w:r>
              <w:rPr>
                <w:rFonts w:eastAsiaTheme="minorHAnsi"/>
              </w:rPr>
              <w:t>Permit Groups</w:t>
            </w:r>
          </w:p>
        </w:tc>
        <w:tc>
          <w:tcPr>
            <w:tcW w:w="1710" w:type="dxa"/>
          </w:tcPr>
          <w:p w14:paraId="485E10AB" w14:textId="77777777" w:rsidR="00794EF5" w:rsidRPr="009B2EDC" w:rsidRDefault="00794EF5" w:rsidP="00395BD5">
            <w:pPr>
              <w:widowControl/>
              <w:autoSpaceDE/>
              <w:autoSpaceDN/>
              <w:ind w:left="166"/>
              <w:jc w:val="center"/>
              <w:rPr>
                <w:rFonts w:eastAsiaTheme="minorHAnsi"/>
              </w:rPr>
            </w:pPr>
          </w:p>
        </w:tc>
        <w:tc>
          <w:tcPr>
            <w:tcW w:w="2970" w:type="dxa"/>
          </w:tcPr>
          <w:p w14:paraId="5BB23EDF" w14:textId="76B23AA3" w:rsidR="00794EF5" w:rsidRPr="009B2EDC" w:rsidRDefault="00794EF5" w:rsidP="005849DC">
            <w:pPr>
              <w:widowControl/>
              <w:autoSpaceDE/>
              <w:autoSpaceDN/>
              <w:ind w:left="76" w:firstLine="166"/>
              <w:jc w:val="center"/>
              <w:rPr>
                <w:rFonts w:eastAsiaTheme="minorHAnsi"/>
              </w:rPr>
            </w:pPr>
          </w:p>
        </w:tc>
      </w:tr>
      <w:tr w:rsidR="00DA2665" w:rsidRPr="00903F4E" w14:paraId="4FD8D0E5" w14:textId="77777777" w:rsidTr="003D77F9">
        <w:tc>
          <w:tcPr>
            <w:tcW w:w="3240" w:type="dxa"/>
          </w:tcPr>
          <w:p w14:paraId="37CDD98D" w14:textId="2ABE0BDA" w:rsidR="00DA2665" w:rsidRPr="005849DC" w:rsidRDefault="00DA2665" w:rsidP="005849DC">
            <w:pPr>
              <w:pStyle w:val="ListParagraph"/>
              <w:widowControl/>
              <w:numPr>
                <w:ilvl w:val="0"/>
                <w:numId w:val="7"/>
              </w:numPr>
              <w:autoSpaceDE/>
              <w:autoSpaceDN/>
              <w:ind w:left="345" w:hanging="180"/>
              <w:rPr>
                <w:rFonts w:eastAsiaTheme="minorHAnsi"/>
              </w:rPr>
            </w:pPr>
            <w:r>
              <w:rPr>
                <w:rFonts w:eastAsiaTheme="minorHAnsi"/>
              </w:rPr>
              <w:t>SM Youth</w:t>
            </w:r>
            <w:r w:rsidRPr="005849DC">
              <w:rPr>
                <w:rFonts w:eastAsiaTheme="minorHAnsi"/>
              </w:rPr>
              <w:t xml:space="preserve"> programs</w:t>
            </w:r>
          </w:p>
        </w:tc>
        <w:tc>
          <w:tcPr>
            <w:tcW w:w="1710" w:type="dxa"/>
          </w:tcPr>
          <w:p w14:paraId="6F1FC592" w14:textId="72293EFE" w:rsidR="00DA2665" w:rsidRPr="009B2EDC" w:rsidRDefault="00DA2665" w:rsidP="005849DC">
            <w:pPr>
              <w:widowControl/>
              <w:autoSpaceDE/>
              <w:autoSpaceDN/>
              <w:ind w:left="345" w:hanging="180"/>
              <w:jc w:val="center"/>
              <w:rPr>
                <w:rFonts w:eastAsiaTheme="minorHAnsi"/>
              </w:rPr>
            </w:pPr>
            <w:r>
              <w:rPr>
                <w:rFonts w:eastAsiaTheme="minorHAnsi"/>
              </w:rPr>
              <w:t>10%</w:t>
            </w:r>
          </w:p>
        </w:tc>
        <w:tc>
          <w:tcPr>
            <w:tcW w:w="2970" w:type="dxa"/>
          </w:tcPr>
          <w:p w14:paraId="30EB5997" w14:textId="7EB32EC5" w:rsidR="00DA2665" w:rsidRPr="009B2EDC" w:rsidRDefault="00DA2665" w:rsidP="005849DC">
            <w:pPr>
              <w:widowControl/>
              <w:autoSpaceDE/>
              <w:autoSpaceDN/>
              <w:ind w:left="76" w:firstLine="166"/>
              <w:jc w:val="center"/>
              <w:rPr>
                <w:rFonts w:eastAsiaTheme="minorHAnsi"/>
              </w:rPr>
            </w:pPr>
            <w:r>
              <w:rPr>
                <w:rFonts w:eastAsiaTheme="minorHAnsi"/>
              </w:rPr>
              <w:t>10%</w:t>
            </w:r>
          </w:p>
        </w:tc>
      </w:tr>
      <w:tr w:rsidR="00DA2665" w:rsidRPr="00903F4E" w14:paraId="6B9B4AB5" w14:textId="77777777" w:rsidTr="00794EF5">
        <w:tc>
          <w:tcPr>
            <w:tcW w:w="3240" w:type="dxa"/>
          </w:tcPr>
          <w:p w14:paraId="189796B2" w14:textId="0628A00C" w:rsidR="00DA2665" w:rsidRPr="005849DC" w:rsidRDefault="00DA2665" w:rsidP="005849DC">
            <w:pPr>
              <w:pStyle w:val="ListParagraph"/>
              <w:widowControl/>
              <w:numPr>
                <w:ilvl w:val="0"/>
                <w:numId w:val="7"/>
              </w:numPr>
              <w:autoSpaceDE/>
              <w:autoSpaceDN/>
              <w:ind w:left="345" w:hanging="180"/>
              <w:rPr>
                <w:rFonts w:eastAsiaTheme="minorHAnsi"/>
              </w:rPr>
            </w:pPr>
            <w:r>
              <w:rPr>
                <w:rFonts w:eastAsiaTheme="minorHAnsi"/>
              </w:rPr>
              <w:t>SM Adult programs</w:t>
            </w:r>
          </w:p>
        </w:tc>
        <w:tc>
          <w:tcPr>
            <w:tcW w:w="1710" w:type="dxa"/>
          </w:tcPr>
          <w:p w14:paraId="0A7CE723" w14:textId="07273D17" w:rsidR="00DA2665" w:rsidRPr="009B2EDC" w:rsidRDefault="00DA2665" w:rsidP="005849DC">
            <w:pPr>
              <w:widowControl/>
              <w:autoSpaceDE/>
              <w:autoSpaceDN/>
              <w:ind w:left="345" w:hanging="180"/>
              <w:jc w:val="center"/>
              <w:rPr>
                <w:rFonts w:eastAsiaTheme="minorHAnsi"/>
              </w:rPr>
            </w:pPr>
            <w:r>
              <w:rPr>
                <w:rFonts w:eastAsiaTheme="minorHAnsi"/>
              </w:rPr>
              <w:t>5%</w:t>
            </w:r>
          </w:p>
        </w:tc>
        <w:tc>
          <w:tcPr>
            <w:tcW w:w="2970" w:type="dxa"/>
          </w:tcPr>
          <w:p w14:paraId="74BBCD3A" w14:textId="76A89601" w:rsidR="00DA2665" w:rsidRPr="009B2EDC" w:rsidRDefault="00DA2665" w:rsidP="005849DC">
            <w:pPr>
              <w:widowControl/>
              <w:autoSpaceDE/>
              <w:autoSpaceDN/>
              <w:ind w:left="76" w:firstLine="166"/>
              <w:jc w:val="center"/>
              <w:rPr>
                <w:rFonts w:eastAsiaTheme="minorHAnsi"/>
              </w:rPr>
            </w:pPr>
            <w:r>
              <w:rPr>
                <w:rFonts w:eastAsiaTheme="minorHAnsi"/>
              </w:rPr>
              <w:t>5%</w:t>
            </w:r>
          </w:p>
        </w:tc>
      </w:tr>
      <w:tr w:rsidR="00DA2665" w:rsidRPr="00903F4E" w14:paraId="2C76D3CA" w14:textId="77777777" w:rsidTr="00794EF5">
        <w:tc>
          <w:tcPr>
            <w:tcW w:w="3240" w:type="dxa"/>
          </w:tcPr>
          <w:p w14:paraId="3F8DFA3D" w14:textId="051E46D3" w:rsidR="00DA2665" w:rsidRPr="005849DC" w:rsidRDefault="00DA2665" w:rsidP="005849DC">
            <w:pPr>
              <w:pStyle w:val="ListParagraph"/>
              <w:widowControl/>
              <w:numPr>
                <w:ilvl w:val="0"/>
                <w:numId w:val="7"/>
              </w:numPr>
              <w:autoSpaceDE/>
              <w:autoSpaceDN/>
              <w:ind w:left="345" w:hanging="180"/>
              <w:rPr>
                <w:rFonts w:eastAsiaTheme="minorHAnsi"/>
              </w:rPr>
            </w:pPr>
            <w:bookmarkStart w:id="0" w:name="_Hlk97203624"/>
            <w:r>
              <w:rPr>
                <w:rFonts w:eastAsiaTheme="minorHAnsi"/>
              </w:rPr>
              <w:t>Other</w:t>
            </w:r>
          </w:p>
        </w:tc>
        <w:tc>
          <w:tcPr>
            <w:tcW w:w="1710" w:type="dxa"/>
          </w:tcPr>
          <w:p w14:paraId="44C5D2FF" w14:textId="27BBF8CC" w:rsidR="00DA2665" w:rsidRPr="009B2EDC" w:rsidRDefault="00DA2665" w:rsidP="005849DC">
            <w:pPr>
              <w:widowControl/>
              <w:autoSpaceDE/>
              <w:autoSpaceDN/>
              <w:ind w:left="345" w:hanging="180"/>
              <w:jc w:val="center"/>
              <w:rPr>
                <w:rFonts w:eastAsiaTheme="minorHAnsi"/>
              </w:rPr>
            </w:pPr>
            <w:r>
              <w:rPr>
                <w:rFonts w:eastAsiaTheme="minorHAnsi"/>
              </w:rPr>
              <w:t>1%</w:t>
            </w:r>
          </w:p>
        </w:tc>
        <w:tc>
          <w:tcPr>
            <w:tcW w:w="2970" w:type="dxa"/>
          </w:tcPr>
          <w:p w14:paraId="743C5C7F" w14:textId="042363EC" w:rsidR="00DA2665" w:rsidRPr="009B2EDC" w:rsidRDefault="00DA2665" w:rsidP="005849DC">
            <w:pPr>
              <w:widowControl/>
              <w:autoSpaceDE/>
              <w:autoSpaceDN/>
              <w:ind w:left="76" w:firstLine="166"/>
              <w:jc w:val="center"/>
              <w:rPr>
                <w:rFonts w:eastAsiaTheme="minorHAnsi"/>
              </w:rPr>
            </w:pPr>
            <w:r>
              <w:rPr>
                <w:rFonts w:eastAsiaTheme="minorHAnsi"/>
              </w:rPr>
              <w:t>1%</w:t>
            </w:r>
          </w:p>
        </w:tc>
      </w:tr>
      <w:bookmarkEnd w:id="0"/>
    </w:tbl>
    <w:p w14:paraId="242642E3" w14:textId="77777777" w:rsidR="00086525" w:rsidRPr="000B3C29" w:rsidRDefault="00086525" w:rsidP="005849DC">
      <w:pPr>
        <w:widowControl/>
        <w:autoSpaceDE/>
        <w:autoSpaceDN/>
        <w:ind w:left="540"/>
      </w:pPr>
    </w:p>
    <w:p w14:paraId="41E85757" w14:textId="3290D49C" w:rsidR="00086525" w:rsidRPr="00B86AF5" w:rsidRDefault="00BC0425" w:rsidP="00BF223B">
      <w:pPr>
        <w:tabs>
          <w:tab w:val="left" w:pos="860"/>
          <w:tab w:val="left" w:pos="861"/>
        </w:tabs>
        <w:ind w:left="630"/>
        <w:rPr>
          <w:sz w:val="24"/>
          <w:szCs w:val="24"/>
        </w:rPr>
      </w:pPr>
      <w:r w:rsidRPr="005849DC">
        <w:rPr>
          <w:sz w:val="24"/>
          <w:szCs w:val="24"/>
        </w:rPr>
        <w:t>Should there be competing requests for allocation; the following additional factors will be considered in allocation of lanes:</w:t>
      </w:r>
    </w:p>
    <w:p w14:paraId="1D927790" w14:textId="77777777" w:rsidR="00086525" w:rsidRPr="005849DC" w:rsidRDefault="00086525" w:rsidP="005849DC">
      <w:pPr>
        <w:tabs>
          <w:tab w:val="left" w:pos="860"/>
          <w:tab w:val="left" w:pos="861"/>
        </w:tabs>
        <w:rPr>
          <w:sz w:val="24"/>
        </w:rPr>
      </w:pPr>
    </w:p>
    <w:p w14:paraId="08C831ED" w14:textId="657F3E28" w:rsidR="006E2500" w:rsidRPr="005849DC" w:rsidRDefault="002A1E17" w:rsidP="005849DC">
      <w:pPr>
        <w:tabs>
          <w:tab w:val="left" w:pos="450"/>
        </w:tabs>
        <w:ind w:left="450"/>
        <w:rPr>
          <w:b/>
          <w:bCs/>
          <w:sz w:val="24"/>
          <w:szCs w:val="24"/>
        </w:rPr>
      </w:pPr>
      <w:proofErr w:type="gramStart"/>
      <w:r>
        <w:rPr>
          <w:b/>
          <w:bCs/>
          <w:sz w:val="24"/>
          <w:szCs w:val="24"/>
        </w:rPr>
        <w:t xml:space="preserve">3.2  </w:t>
      </w:r>
      <w:r w:rsidR="006E2500" w:rsidRPr="005849DC">
        <w:rPr>
          <w:b/>
          <w:bCs/>
          <w:sz w:val="24"/>
          <w:szCs w:val="24"/>
        </w:rPr>
        <w:t>Pool</w:t>
      </w:r>
      <w:proofErr w:type="gramEnd"/>
      <w:r w:rsidR="006E2500" w:rsidRPr="005849DC">
        <w:rPr>
          <w:b/>
          <w:bCs/>
          <w:sz w:val="24"/>
          <w:szCs w:val="24"/>
        </w:rPr>
        <w:t xml:space="preserve"> Allocation </w:t>
      </w:r>
      <w:r w:rsidR="00515AF7" w:rsidRPr="005849DC">
        <w:rPr>
          <w:b/>
          <w:bCs/>
          <w:sz w:val="24"/>
          <w:szCs w:val="24"/>
        </w:rPr>
        <w:t xml:space="preserve">Prioritization </w:t>
      </w:r>
      <w:r w:rsidR="006E2500" w:rsidRPr="005849DC">
        <w:rPr>
          <w:b/>
          <w:bCs/>
          <w:sz w:val="24"/>
          <w:szCs w:val="24"/>
        </w:rPr>
        <w:t>by Group Type and Pool</w:t>
      </w:r>
    </w:p>
    <w:p w14:paraId="0FB1AA23" w14:textId="7CC468F9" w:rsidR="008E4AF3" w:rsidRPr="005849DC" w:rsidRDefault="008E4AF3" w:rsidP="005849DC">
      <w:pPr>
        <w:pStyle w:val="ListParagraph"/>
        <w:widowControl/>
        <w:numPr>
          <w:ilvl w:val="1"/>
          <w:numId w:val="4"/>
        </w:numPr>
        <w:autoSpaceDE/>
        <w:autoSpaceDN/>
        <w:ind w:left="1260"/>
        <w:rPr>
          <w:sz w:val="24"/>
          <w:szCs w:val="24"/>
        </w:rPr>
      </w:pPr>
      <w:r w:rsidRPr="005849DC">
        <w:rPr>
          <w:sz w:val="24"/>
          <w:szCs w:val="24"/>
        </w:rPr>
        <w:t>Youth groups have priority weekday afternoons (3:00 to 6:</w:t>
      </w:r>
      <w:r w:rsidR="00825409">
        <w:rPr>
          <w:sz w:val="24"/>
          <w:szCs w:val="24"/>
        </w:rPr>
        <w:t>0</w:t>
      </w:r>
      <w:r w:rsidRPr="005849DC">
        <w:rPr>
          <w:sz w:val="24"/>
          <w:szCs w:val="24"/>
        </w:rPr>
        <w:t>0pm</w:t>
      </w:r>
      <w:r w:rsidR="00825409">
        <w:rPr>
          <w:sz w:val="24"/>
          <w:szCs w:val="24"/>
        </w:rPr>
        <w:t xml:space="preserve"> or 7:00pm</w:t>
      </w:r>
      <w:r w:rsidRPr="005849DC">
        <w:rPr>
          <w:sz w:val="24"/>
          <w:szCs w:val="24"/>
        </w:rPr>
        <w:t xml:space="preserve">) with a balance of City programming, </w:t>
      </w:r>
      <w:r w:rsidR="00764555" w:rsidRPr="005849DC">
        <w:rPr>
          <w:sz w:val="24"/>
          <w:szCs w:val="24"/>
        </w:rPr>
        <w:t xml:space="preserve">youth </w:t>
      </w:r>
      <w:r w:rsidRPr="005849DC">
        <w:rPr>
          <w:sz w:val="24"/>
          <w:szCs w:val="24"/>
        </w:rPr>
        <w:t>permit groups and lap swimming</w:t>
      </w:r>
    </w:p>
    <w:p w14:paraId="2DD8C9EC" w14:textId="15FC1870" w:rsidR="008E4AF3" w:rsidRPr="005849DC" w:rsidRDefault="008E4AF3" w:rsidP="005849DC">
      <w:pPr>
        <w:pStyle w:val="ListParagraph"/>
        <w:widowControl/>
        <w:numPr>
          <w:ilvl w:val="1"/>
          <w:numId w:val="4"/>
        </w:numPr>
        <w:autoSpaceDE/>
        <w:autoSpaceDN/>
        <w:ind w:left="1260"/>
        <w:rPr>
          <w:sz w:val="24"/>
          <w:szCs w:val="24"/>
        </w:rPr>
      </w:pPr>
      <w:r w:rsidRPr="005849DC">
        <w:rPr>
          <w:sz w:val="24"/>
          <w:szCs w:val="24"/>
        </w:rPr>
        <w:t>Adult groups have priority in the evenings (6:</w:t>
      </w:r>
      <w:r w:rsidR="00825409">
        <w:rPr>
          <w:sz w:val="24"/>
          <w:szCs w:val="24"/>
        </w:rPr>
        <w:t>0</w:t>
      </w:r>
      <w:r w:rsidRPr="005849DC">
        <w:rPr>
          <w:sz w:val="24"/>
          <w:szCs w:val="24"/>
        </w:rPr>
        <w:t xml:space="preserve">0pm </w:t>
      </w:r>
      <w:r w:rsidR="00825409">
        <w:rPr>
          <w:sz w:val="24"/>
          <w:szCs w:val="24"/>
        </w:rPr>
        <w:t xml:space="preserve">or 7:00pm </w:t>
      </w:r>
      <w:r w:rsidRPr="005849DC">
        <w:rPr>
          <w:sz w:val="24"/>
          <w:szCs w:val="24"/>
        </w:rPr>
        <w:t>to closing time)</w:t>
      </w:r>
      <w:r w:rsidR="00C05387" w:rsidRPr="005849DC">
        <w:rPr>
          <w:sz w:val="24"/>
          <w:szCs w:val="24"/>
        </w:rPr>
        <w:t xml:space="preserve"> </w:t>
      </w:r>
      <w:r w:rsidRPr="005849DC">
        <w:rPr>
          <w:sz w:val="24"/>
          <w:szCs w:val="24"/>
        </w:rPr>
        <w:t xml:space="preserve">with a balance of City programming, </w:t>
      </w:r>
      <w:r w:rsidR="00764555" w:rsidRPr="005849DC">
        <w:rPr>
          <w:sz w:val="24"/>
          <w:szCs w:val="24"/>
        </w:rPr>
        <w:t xml:space="preserve">adult </w:t>
      </w:r>
      <w:r w:rsidRPr="005849DC">
        <w:rPr>
          <w:sz w:val="24"/>
          <w:szCs w:val="24"/>
        </w:rPr>
        <w:t>permit groups and lap swimming</w:t>
      </w:r>
    </w:p>
    <w:p w14:paraId="70C727F7" w14:textId="07621700" w:rsidR="008E4AF3" w:rsidRPr="005849DC" w:rsidRDefault="008E4AF3" w:rsidP="005849DC">
      <w:pPr>
        <w:pStyle w:val="ListParagraph"/>
        <w:widowControl/>
        <w:numPr>
          <w:ilvl w:val="1"/>
          <w:numId w:val="4"/>
        </w:numPr>
        <w:autoSpaceDE/>
        <w:autoSpaceDN/>
        <w:ind w:left="1260"/>
        <w:rPr>
          <w:sz w:val="24"/>
          <w:szCs w:val="24"/>
        </w:rPr>
      </w:pPr>
      <w:r w:rsidRPr="005849DC">
        <w:rPr>
          <w:sz w:val="24"/>
          <w:szCs w:val="24"/>
        </w:rPr>
        <w:t xml:space="preserve">Early morning hours </w:t>
      </w:r>
      <w:r w:rsidR="000B7E0F" w:rsidRPr="005849DC">
        <w:rPr>
          <w:sz w:val="24"/>
          <w:szCs w:val="24"/>
        </w:rPr>
        <w:t>are</w:t>
      </w:r>
      <w:r w:rsidRPr="005849DC">
        <w:rPr>
          <w:sz w:val="24"/>
          <w:szCs w:val="24"/>
        </w:rPr>
        <w:t xml:space="preserve"> shared between</w:t>
      </w:r>
      <w:r w:rsidR="00764555" w:rsidRPr="005849DC">
        <w:rPr>
          <w:sz w:val="24"/>
          <w:szCs w:val="24"/>
        </w:rPr>
        <w:t xml:space="preserve"> </w:t>
      </w:r>
      <w:r w:rsidRPr="005849DC">
        <w:rPr>
          <w:sz w:val="24"/>
          <w:szCs w:val="24"/>
        </w:rPr>
        <w:t xml:space="preserve">youth </w:t>
      </w:r>
      <w:r w:rsidR="00764555" w:rsidRPr="005849DC">
        <w:rPr>
          <w:sz w:val="24"/>
          <w:szCs w:val="24"/>
        </w:rPr>
        <w:t>permit groups</w:t>
      </w:r>
      <w:r w:rsidRPr="005849DC">
        <w:rPr>
          <w:sz w:val="24"/>
          <w:szCs w:val="24"/>
        </w:rPr>
        <w:t>,</w:t>
      </w:r>
      <w:r w:rsidR="00764555" w:rsidRPr="005849DC">
        <w:rPr>
          <w:sz w:val="24"/>
          <w:szCs w:val="24"/>
        </w:rPr>
        <w:t xml:space="preserve"> </w:t>
      </w:r>
      <w:r w:rsidRPr="005849DC">
        <w:rPr>
          <w:sz w:val="24"/>
          <w:szCs w:val="24"/>
        </w:rPr>
        <w:t xml:space="preserve">adult </w:t>
      </w:r>
      <w:r w:rsidR="00764555" w:rsidRPr="005849DC">
        <w:rPr>
          <w:sz w:val="24"/>
          <w:szCs w:val="24"/>
        </w:rPr>
        <w:t>permit groups</w:t>
      </w:r>
      <w:r w:rsidRPr="005849DC">
        <w:rPr>
          <w:sz w:val="24"/>
          <w:szCs w:val="24"/>
        </w:rPr>
        <w:t xml:space="preserve"> and lap swimming</w:t>
      </w:r>
    </w:p>
    <w:p w14:paraId="402F719A" w14:textId="126CFE69" w:rsidR="006E2500" w:rsidRPr="005849DC" w:rsidRDefault="006E2500" w:rsidP="005849DC">
      <w:pPr>
        <w:pStyle w:val="ListParagraph"/>
        <w:widowControl/>
        <w:numPr>
          <w:ilvl w:val="1"/>
          <w:numId w:val="4"/>
        </w:numPr>
        <w:autoSpaceDE/>
        <w:autoSpaceDN/>
        <w:ind w:left="1260"/>
        <w:rPr>
          <w:sz w:val="24"/>
          <w:szCs w:val="24"/>
        </w:rPr>
      </w:pPr>
      <w:r w:rsidRPr="005849DC">
        <w:rPr>
          <w:sz w:val="24"/>
          <w:szCs w:val="24"/>
        </w:rPr>
        <w:lastRenderedPageBreak/>
        <w:t xml:space="preserve">The Splash pool is primarily for </w:t>
      </w:r>
      <w:r w:rsidR="00515AF7" w:rsidRPr="005849DC">
        <w:rPr>
          <w:sz w:val="24"/>
          <w:szCs w:val="24"/>
        </w:rPr>
        <w:t xml:space="preserve">learn to swim classes, novice and disabled person </w:t>
      </w:r>
      <w:r w:rsidR="00764555" w:rsidRPr="005849DC">
        <w:rPr>
          <w:sz w:val="24"/>
          <w:szCs w:val="24"/>
        </w:rPr>
        <w:t>permit group</w:t>
      </w:r>
      <w:r w:rsidR="002A1E17">
        <w:rPr>
          <w:sz w:val="24"/>
          <w:szCs w:val="24"/>
        </w:rPr>
        <w:t>s, recreation swimming</w:t>
      </w:r>
      <w:r w:rsidR="00096D3B">
        <w:rPr>
          <w:sz w:val="24"/>
          <w:szCs w:val="24"/>
        </w:rPr>
        <w:t>,</w:t>
      </w:r>
      <w:r w:rsidR="002A1E17">
        <w:rPr>
          <w:sz w:val="24"/>
          <w:szCs w:val="24"/>
        </w:rPr>
        <w:t xml:space="preserve"> and lap swimming</w:t>
      </w:r>
    </w:p>
    <w:p w14:paraId="7EA18B6A" w14:textId="44A02B96" w:rsidR="00515AF7" w:rsidRPr="005849DC" w:rsidRDefault="00515AF7" w:rsidP="005849DC">
      <w:pPr>
        <w:pStyle w:val="ListParagraph"/>
        <w:widowControl/>
        <w:numPr>
          <w:ilvl w:val="1"/>
          <w:numId w:val="4"/>
        </w:numPr>
        <w:autoSpaceDE/>
        <w:autoSpaceDN/>
        <w:ind w:left="1260"/>
        <w:rPr>
          <w:sz w:val="24"/>
          <w:szCs w:val="24"/>
        </w:rPr>
      </w:pPr>
      <w:r w:rsidRPr="005849DC">
        <w:rPr>
          <w:sz w:val="24"/>
          <w:szCs w:val="24"/>
        </w:rPr>
        <w:t>The Fitness pool is primarily for advanced</w:t>
      </w:r>
      <w:r w:rsidR="003F6269">
        <w:rPr>
          <w:sz w:val="24"/>
          <w:szCs w:val="24"/>
        </w:rPr>
        <w:t xml:space="preserve"> level workout</w:t>
      </w:r>
      <w:r w:rsidR="00764555" w:rsidRPr="005849DC">
        <w:rPr>
          <w:sz w:val="24"/>
          <w:szCs w:val="24"/>
        </w:rPr>
        <w:t xml:space="preserve"> permit</w:t>
      </w:r>
      <w:r w:rsidRPr="005849DC">
        <w:rPr>
          <w:sz w:val="24"/>
          <w:szCs w:val="24"/>
        </w:rPr>
        <w:t xml:space="preserve"> groups</w:t>
      </w:r>
      <w:r w:rsidR="002A1E17">
        <w:rPr>
          <w:sz w:val="24"/>
          <w:szCs w:val="24"/>
        </w:rPr>
        <w:t>, lap swimming and specialty classes</w:t>
      </w:r>
    </w:p>
    <w:p w14:paraId="51EBEF05" w14:textId="77777777" w:rsidR="00515AF7" w:rsidRPr="005849DC" w:rsidRDefault="00515AF7" w:rsidP="005849DC">
      <w:pPr>
        <w:widowControl/>
        <w:autoSpaceDE/>
        <w:autoSpaceDN/>
        <w:rPr>
          <w:sz w:val="24"/>
          <w:szCs w:val="24"/>
        </w:rPr>
      </w:pPr>
    </w:p>
    <w:p w14:paraId="12C8F4B3" w14:textId="03423D75" w:rsidR="00515AF7" w:rsidRPr="005849DC" w:rsidRDefault="00393EEE" w:rsidP="005849DC">
      <w:pPr>
        <w:pStyle w:val="ListParagraph"/>
        <w:widowControl/>
        <w:autoSpaceDE/>
        <w:autoSpaceDN/>
        <w:ind w:left="450"/>
        <w:rPr>
          <w:b/>
          <w:bCs/>
          <w:sz w:val="24"/>
          <w:szCs w:val="24"/>
        </w:rPr>
      </w:pPr>
      <w:proofErr w:type="gramStart"/>
      <w:r>
        <w:rPr>
          <w:b/>
          <w:bCs/>
          <w:sz w:val="24"/>
          <w:szCs w:val="24"/>
        </w:rPr>
        <w:t xml:space="preserve">3.3  </w:t>
      </w:r>
      <w:r w:rsidR="00770946" w:rsidRPr="005849DC">
        <w:rPr>
          <w:b/>
          <w:bCs/>
          <w:sz w:val="24"/>
          <w:szCs w:val="24"/>
        </w:rPr>
        <w:t>Allocation</w:t>
      </w:r>
      <w:proofErr w:type="gramEnd"/>
      <w:r w:rsidR="00770946" w:rsidRPr="005849DC">
        <w:rPr>
          <w:b/>
          <w:bCs/>
          <w:sz w:val="24"/>
          <w:szCs w:val="24"/>
        </w:rPr>
        <w:t xml:space="preserve"> of Lanes</w:t>
      </w:r>
      <w:r w:rsidR="002503BF">
        <w:rPr>
          <w:b/>
          <w:bCs/>
          <w:sz w:val="24"/>
          <w:szCs w:val="24"/>
        </w:rPr>
        <w:t xml:space="preserve"> </w:t>
      </w:r>
      <w:r w:rsidR="009353F6">
        <w:rPr>
          <w:b/>
          <w:bCs/>
          <w:sz w:val="24"/>
          <w:szCs w:val="24"/>
        </w:rPr>
        <w:t>B</w:t>
      </w:r>
      <w:r w:rsidR="002503BF">
        <w:rPr>
          <w:b/>
          <w:bCs/>
          <w:sz w:val="24"/>
          <w:szCs w:val="24"/>
        </w:rPr>
        <w:t>ased on Santa Monica Residents</w:t>
      </w:r>
    </w:p>
    <w:p w14:paraId="1B99AAC4" w14:textId="5C9511E4" w:rsidR="00003708" w:rsidRDefault="00770946" w:rsidP="005849DC">
      <w:pPr>
        <w:widowControl/>
        <w:autoSpaceDE/>
        <w:autoSpaceDN/>
        <w:ind w:left="860"/>
        <w:rPr>
          <w:sz w:val="24"/>
          <w:szCs w:val="24"/>
        </w:rPr>
      </w:pPr>
      <w:r w:rsidRPr="005849DC">
        <w:rPr>
          <w:sz w:val="24"/>
          <w:szCs w:val="24"/>
        </w:rPr>
        <w:t xml:space="preserve">The lane allocations to each group </w:t>
      </w:r>
      <w:r w:rsidR="00B43C78" w:rsidRPr="005849DC">
        <w:rPr>
          <w:sz w:val="24"/>
          <w:szCs w:val="24"/>
        </w:rPr>
        <w:t>are</w:t>
      </w:r>
      <w:r w:rsidRPr="005849DC">
        <w:rPr>
          <w:sz w:val="24"/>
          <w:szCs w:val="24"/>
        </w:rPr>
        <w:t xml:space="preserve"> dependent upon the number of Santa Monica resident participants in relationship to the available lane hours as well as the priority use designated for pools and time frame. </w:t>
      </w:r>
      <w:r w:rsidR="00003708">
        <w:rPr>
          <w:sz w:val="24"/>
          <w:szCs w:val="24"/>
        </w:rPr>
        <w:t>The number of Santa Monica residents for each group will be based on the</w:t>
      </w:r>
      <w:r w:rsidR="003414FF">
        <w:rPr>
          <w:sz w:val="24"/>
          <w:szCs w:val="24"/>
        </w:rPr>
        <w:t xml:space="preserve"> Membership Usage Report</w:t>
      </w:r>
      <w:r w:rsidR="003F6269">
        <w:rPr>
          <w:sz w:val="24"/>
          <w:szCs w:val="24"/>
        </w:rPr>
        <w:t xml:space="preserve"> created at the beginning of the permit application process</w:t>
      </w:r>
      <w:r w:rsidR="003414FF">
        <w:rPr>
          <w:sz w:val="24"/>
          <w:szCs w:val="24"/>
        </w:rPr>
        <w:t xml:space="preserve"> for the </w:t>
      </w:r>
      <w:r w:rsidR="0040432A">
        <w:rPr>
          <w:sz w:val="24"/>
          <w:szCs w:val="24"/>
        </w:rPr>
        <w:t>12</w:t>
      </w:r>
      <w:r w:rsidR="003221CC">
        <w:rPr>
          <w:sz w:val="24"/>
          <w:szCs w:val="24"/>
        </w:rPr>
        <w:t>-</w:t>
      </w:r>
      <w:r w:rsidR="0040432A">
        <w:rPr>
          <w:sz w:val="24"/>
          <w:szCs w:val="24"/>
        </w:rPr>
        <w:t>month period prior to the beginning of the seasonal application process</w:t>
      </w:r>
      <w:r w:rsidR="003F6269">
        <w:rPr>
          <w:sz w:val="24"/>
          <w:szCs w:val="24"/>
        </w:rPr>
        <w:t>.</w:t>
      </w:r>
      <w:r w:rsidR="003414FF">
        <w:rPr>
          <w:sz w:val="24"/>
          <w:szCs w:val="24"/>
        </w:rPr>
        <w:t xml:space="preserve"> </w:t>
      </w:r>
      <w:r w:rsidR="00B86AF5" w:rsidRPr="005849DC">
        <w:rPr>
          <w:sz w:val="24"/>
          <w:szCs w:val="24"/>
        </w:rPr>
        <w:t xml:space="preserve"> </w:t>
      </w:r>
      <w:r w:rsidR="00003708">
        <w:rPr>
          <w:sz w:val="24"/>
          <w:szCs w:val="24"/>
        </w:rPr>
        <w:t xml:space="preserve">New permit groups must submit </w:t>
      </w:r>
      <w:r w:rsidR="003F6269">
        <w:rPr>
          <w:sz w:val="24"/>
          <w:szCs w:val="24"/>
        </w:rPr>
        <w:t xml:space="preserve">a </w:t>
      </w:r>
      <w:r w:rsidR="00003708">
        <w:rPr>
          <w:sz w:val="24"/>
          <w:szCs w:val="24"/>
        </w:rPr>
        <w:t>roster with addresses of participants</w:t>
      </w:r>
      <w:r w:rsidR="0040432A">
        <w:rPr>
          <w:sz w:val="24"/>
          <w:szCs w:val="24"/>
        </w:rPr>
        <w:t xml:space="preserve"> to determine the number of Santa Monica residents.</w:t>
      </w:r>
    </w:p>
    <w:p w14:paraId="33FA4BA4" w14:textId="77777777" w:rsidR="00003708" w:rsidRDefault="00003708" w:rsidP="005849DC">
      <w:pPr>
        <w:widowControl/>
        <w:autoSpaceDE/>
        <w:autoSpaceDN/>
        <w:ind w:left="860"/>
        <w:rPr>
          <w:sz w:val="24"/>
          <w:szCs w:val="24"/>
        </w:rPr>
      </w:pPr>
    </w:p>
    <w:p w14:paraId="73D1FAFB" w14:textId="4EAB6D22" w:rsidR="00B86AF5" w:rsidRPr="005849DC" w:rsidRDefault="00B86AF5" w:rsidP="005849DC">
      <w:pPr>
        <w:widowControl/>
        <w:autoSpaceDE/>
        <w:autoSpaceDN/>
        <w:ind w:left="860"/>
        <w:rPr>
          <w:sz w:val="24"/>
          <w:szCs w:val="24"/>
        </w:rPr>
      </w:pPr>
      <w:r w:rsidRPr="005849DC">
        <w:rPr>
          <w:sz w:val="24"/>
          <w:szCs w:val="24"/>
        </w:rPr>
        <w:t>The following is an example with</w:t>
      </w:r>
      <w:r w:rsidR="002503BF">
        <w:rPr>
          <w:sz w:val="24"/>
          <w:szCs w:val="24"/>
        </w:rPr>
        <w:t xml:space="preserve"> sample</w:t>
      </w:r>
      <w:r w:rsidRPr="005849DC">
        <w:rPr>
          <w:sz w:val="24"/>
          <w:szCs w:val="24"/>
        </w:rPr>
        <w:t xml:space="preserve"> numbers to help explain </w:t>
      </w:r>
      <w:r w:rsidR="0040432A">
        <w:rPr>
          <w:sz w:val="24"/>
          <w:szCs w:val="24"/>
        </w:rPr>
        <w:t>how this guideline for calculating lane allocations based on the number of Santa Monica residents works.</w:t>
      </w:r>
    </w:p>
    <w:p w14:paraId="4B635D34" w14:textId="77777777" w:rsidR="00770946" w:rsidRPr="005849DC" w:rsidRDefault="00770946" w:rsidP="005849DC">
      <w:pPr>
        <w:widowControl/>
        <w:autoSpaceDE/>
        <w:autoSpaceDN/>
        <w:rPr>
          <w:sz w:val="24"/>
          <w:szCs w:val="24"/>
        </w:rPr>
      </w:pPr>
    </w:p>
    <w:tbl>
      <w:tblPr>
        <w:tblStyle w:val="TableGrid"/>
        <w:tblW w:w="0" w:type="auto"/>
        <w:tblInd w:w="895" w:type="dxa"/>
        <w:tblLook w:val="04A0" w:firstRow="1" w:lastRow="0" w:firstColumn="1" w:lastColumn="0" w:noHBand="0" w:noVBand="1"/>
      </w:tblPr>
      <w:tblGrid>
        <w:gridCol w:w="3145"/>
        <w:gridCol w:w="1260"/>
        <w:gridCol w:w="1445"/>
        <w:gridCol w:w="1440"/>
        <w:gridCol w:w="1170"/>
      </w:tblGrid>
      <w:tr w:rsidR="00F70E23" w:rsidRPr="0035155C" w14:paraId="35199AA2" w14:textId="77777777" w:rsidTr="00B86AF5">
        <w:tc>
          <w:tcPr>
            <w:tcW w:w="3145" w:type="dxa"/>
          </w:tcPr>
          <w:p w14:paraId="3E73BA8E" w14:textId="77777777" w:rsidR="00B952DC" w:rsidRPr="005849DC" w:rsidRDefault="00B952DC" w:rsidP="00395BD5">
            <w:pPr>
              <w:widowControl/>
              <w:autoSpaceDE/>
              <w:autoSpaceDN/>
              <w:rPr>
                <w:rFonts w:eastAsiaTheme="minorHAnsi"/>
                <w:sz w:val="20"/>
                <w:szCs w:val="20"/>
              </w:rPr>
            </w:pPr>
          </w:p>
        </w:tc>
        <w:tc>
          <w:tcPr>
            <w:tcW w:w="1260" w:type="dxa"/>
          </w:tcPr>
          <w:p w14:paraId="78C8AF73"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Group A</w:t>
            </w:r>
          </w:p>
        </w:tc>
        <w:tc>
          <w:tcPr>
            <w:tcW w:w="1445" w:type="dxa"/>
          </w:tcPr>
          <w:p w14:paraId="45FFD520"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Group B</w:t>
            </w:r>
          </w:p>
        </w:tc>
        <w:tc>
          <w:tcPr>
            <w:tcW w:w="1440" w:type="dxa"/>
          </w:tcPr>
          <w:p w14:paraId="029FFA54"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Group C</w:t>
            </w:r>
          </w:p>
        </w:tc>
        <w:tc>
          <w:tcPr>
            <w:tcW w:w="1170" w:type="dxa"/>
          </w:tcPr>
          <w:p w14:paraId="4E5329DA"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Total</w:t>
            </w:r>
          </w:p>
        </w:tc>
      </w:tr>
      <w:tr w:rsidR="00F70E23" w:rsidRPr="0035155C" w14:paraId="295B6D82" w14:textId="77777777" w:rsidTr="00B86AF5">
        <w:tc>
          <w:tcPr>
            <w:tcW w:w="3145" w:type="dxa"/>
          </w:tcPr>
          <w:p w14:paraId="3A24AA14"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 SM Residents</w:t>
            </w:r>
          </w:p>
        </w:tc>
        <w:tc>
          <w:tcPr>
            <w:tcW w:w="1260" w:type="dxa"/>
          </w:tcPr>
          <w:p w14:paraId="2B9DA55F"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200</w:t>
            </w:r>
          </w:p>
        </w:tc>
        <w:tc>
          <w:tcPr>
            <w:tcW w:w="1445" w:type="dxa"/>
          </w:tcPr>
          <w:p w14:paraId="59DDFAC3"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100</w:t>
            </w:r>
          </w:p>
        </w:tc>
        <w:tc>
          <w:tcPr>
            <w:tcW w:w="1440" w:type="dxa"/>
          </w:tcPr>
          <w:p w14:paraId="33E9EF18"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50</w:t>
            </w:r>
          </w:p>
        </w:tc>
        <w:tc>
          <w:tcPr>
            <w:tcW w:w="1170" w:type="dxa"/>
          </w:tcPr>
          <w:p w14:paraId="308646E8"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350</w:t>
            </w:r>
          </w:p>
        </w:tc>
      </w:tr>
      <w:tr w:rsidR="00F70E23" w:rsidRPr="0035155C" w14:paraId="6413A5A0" w14:textId="77777777" w:rsidTr="00B86AF5">
        <w:tc>
          <w:tcPr>
            <w:tcW w:w="3145" w:type="dxa"/>
          </w:tcPr>
          <w:p w14:paraId="02402F30"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 xml:space="preserve">% </w:t>
            </w:r>
            <w:proofErr w:type="gramStart"/>
            <w:r w:rsidRPr="005849DC">
              <w:rPr>
                <w:rFonts w:eastAsiaTheme="minorHAnsi"/>
                <w:b/>
                <w:bCs/>
                <w:sz w:val="20"/>
                <w:szCs w:val="20"/>
              </w:rPr>
              <w:t>of</w:t>
            </w:r>
            <w:proofErr w:type="gramEnd"/>
            <w:r w:rsidRPr="005849DC">
              <w:rPr>
                <w:rFonts w:eastAsiaTheme="minorHAnsi"/>
                <w:b/>
                <w:bCs/>
                <w:sz w:val="20"/>
                <w:szCs w:val="20"/>
              </w:rPr>
              <w:t xml:space="preserve"> total SM Residents</w:t>
            </w:r>
          </w:p>
        </w:tc>
        <w:tc>
          <w:tcPr>
            <w:tcW w:w="1260" w:type="dxa"/>
          </w:tcPr>
          <w:p w14:paraId="735EF30A"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57%</w:t>
            </w:r>
          </w:p>
        </w:tc>
        <w:tc>
          <w:tcPr>
            <w:tcW w:w="1445" w:type="dxa"/>
          </w:tcPr>
          <w:p w14:paraId="1C9EC617"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29%</w:t>
            </w:r>
          </w:p>
        </w:tc>
        <w:tc>
          <w:tcPr>
            <w:tcW w:w="1440" w:type="dxa"/>
          </w:tcPr>
          <w:p w14:paraId="122229B7" w14:textId="77777777" w:rsidR="00B952DC" w:rsidRPr="005849DC" w:rsidRDefault="00B952DC" w:rsidP="00395BD5">
            <w:pPr>
              <w:widowControl/>
              <w:autoSpaceDE/>
              <w:autoSpaceDN/>
              <w:rPr>
                <w:rFonts w:eastAsiaTheme="minorHAnsi"/>
                <w:sz w:val="20"/>
                <w:szCs w:val="20"/>
              </w:rPr>
            </w:pPr>
            <w:r w:rsidRPr="005849DC">
              <w:rPr>
                <w:rFonts w:eastAsiaTheme="minorHAnsi"/>
                <w:sz w:val="20"/>
                <w:szCs w:val="20"/>
              </w:rPr>
              <w:t>14%</w:t>
            </w:r>
          </w:p>
        </w:tc>
        <w:tc>
          <w:tcPr>
            <w:tcW w:w="1170" w:type="dxa"/>
          </w:tcPr>
          <w:p w14:paraId="43A6FE4A" w14:textId="77777777" w:rsidR="00B952DC" w:rsidRPr="005849DC" w:rsidRDefault="00B952DC" w:rsidP="00395BD5">
            <w:pPr>
              <w:widowControl/>
              <w:autoSpaceDE/>
              <w:autoSpaceDN/>
              <w:rPr>
                <w:rFonts w:eastAsiaTheme="minorHAnsi"/>
                <w:sz w:val="20"/>
                <w:szCs w:val="20"/>
              </w:rPr>
            </w:pPr>
          </w:p>
        </w:tc>
      </w:tr>
      <w:tr w:rsidR="00F70E23" w:rsidRPr="0035155C" w14:paraId="3C625784" w14:textId="77777777" w:rsidTr="00B86AF5">
        <w:tc>
          <w:tcPr>
            <w:tcW w:w="3145" w:type="dxa"/>
          </w:tcPr>
          <w:p w14:paraId="67F081F7" w14:textId="77777777" w:rsidR="00B952DC" w:rsidRPr="005849DC" w:rsidRDefault="00B952DC" w:rsidP="00395BD5">
            <w:pPr>
              <w:widowControl/>
              <w:autoSpaceDE/>
              <w:autoSpaceDN/>
              <w:rPr>
                <w:rFonts w:eastAsiaTheme="minorHAnsi"/>
                <w:b/>
                <w:bCs/>
                <w:sz w:val="20"/>
                <w:szCs w:val="20"/>
              </w:rPr>
            </w:pPr>
          </w:p>
        </w:tc>
        <w:tc>
          <w:tcPr>
            <w:tcW w:w="1260" w:type="dxa"/>
          </w:tcPr>
          <w:p w14:paraId="10B6DA58" w14:textId="77777777" w:rsidR="00B952DC" w:rsidRPr="005849DC" w:rsidRDefault="00B952DC" w:rsidP="00395BD5">
            <w:pPr>
              <w:widowControl/>
              <w:autoSpaceDE/>
              <w:autoSpaceDN/>
              <w:rPr>
                <w:rFonts w:eastAsiaTheme="minorHAnsi"/>
                <w:sz w:val="20"/>
                <w:szCs w:val="20"/>
              </w:rPr>
            </w:pPr>
          </w:p>
        </w:tc>
        <w:tc>
          <w:tcPr>
            <w:tcW w:w="1445" w:type="dxa"/>
          </w:tcPr>
          <w:p w14:paraId="51E30DE0" w14:textId="77777777" w:rsidR="00B952DC" w:rsidRPr="005849DC" w:rsidRDefault="00B952DC" w:rsidP="00395BD5">
            <w:pPr>
              <w:widowControl/>
              <w:autoSpaceDE/>
              <w:autoSpaceDN/>
              <w:rPr>
                <w:rFonts w:eastAsiaTheme="minorHAnsi"/>
                <w:sz w:val="20"/>
                <w:szCs w:val="20"/>
              </w:rPr>
            </w:pPr>
          </w:p>
        </w:tc>
        <w:tc>
          <w:tcPr>
            <w:tcW w:w="1440" w:type="dxa"/>
          </w:tcPr>
          <w:p w14:paraId="0E983527" w14:textId="77777777" w:rsidR="00B952DC" w:rsidRPr="005849DC" w:rsidRDefault="00B952DC" w:rsidP="00395BD5">
            <w:pPr>
              <w:widowControl/>
              <w:autoSpaceDE/>
              <w:autoSpaceDN/>
              <w:rPr>
                <w:rFonts w:eastAsiaTheme="minorHAnsi"/>
                <w:sz w:val="20"/>
                <w:szCs w:val="20"/>
              </w:rPr>
            </w:pPr>
          </w:p>
        </w:tc>
        <w:tc>
          <w:tcPr>
            <w:tcW w:w="1170" w:type="dxa"/>
          </w:tcPr>
          <w:p w14:paraId="003BC66E" w14:textId="77777777" w:rsidR="00B952DC" w:rsidRPr="005849DC" w:rsidRDefault="00B952DC" w:rsidP="00395BD5">
            <w:pPr>
              <w:widowControl/>
              <w:autoSpaceDE/>
              <w:autoSpaceDN/>
              <w:rPr>
                <w:rFonts w:eastAsiaTheme="minorHAnsi"/>
                <w:sz w:val="20"/>
                <w:szCs w:val="20"/>
              </w:rPr>
            </w:pPr>
          </w:p>
        </w:tc>
      </w:tr>
      <w:tr w:rsidR="00F70E23" w:rsidRPr="0035155C" w14:paraId="67531431" w14:textId="77777777" w:rsidTr="00B86AF5">
        <w:tc>
          <w:tcPr>
            <w:tcW w:w="3145" w:type="dxa"/>
          </w:tcPr>
          <w:p w14:paraId="5224B680" w14:textId="77777777" w:rsidR="00B952DC" w:rsidRPr="005849DC" w:rsidRDefault="00B952DC" w:rsidP="00395BD5">
            <w:pPr>
              <w:widowControl/>
              <w:autoSpaceDE/>
              <w:autoSpaceDN/>
              <w:rPr>
                <w:rFonts w:eastAsiaTheme="minorHAnsi"/>
                <w:b/>
                <w:bCs/>
                <w:sz w:val="20"/>
                <w:szCs w:val="20"/>
              </w:rPr>
            </w:pPr>
            <w:r w:rsidRPr="005849DC">
              <w:rPr>
                <w:rFonts w:eastAsiaTheme="minorHAnsi"/>
                <w:b/>
                <w:bCs/>
                <w:sz w:val="20"/>
                <w:szCs w:val="20"/>
              </w:rPr>
              <w:t xml:space="preserve"># </w:t>
            </w:r>
            <w:proofErr w:type="gramStart"/>
            <w:r w:rsidRPr="005849DC">
              <w:rPr>
                <w:rFonts w:eastAsiaTheme="minorHAnsi"/>
                <w:b/>
                <w:bCs/>
                <w:sz w:val="20"/>
                <w:szCs w:val="20"/>
              </w:rPr>
              <w:t>lane</w:t>
            </w:r>
            <w:proofErr w:type="gramEnd"/>
            <w:r w:rsidRPr="005849DC">
              <w:rPr>
                <w:rFonts w:eastAsiaTheme="minorHAnsi"/>
                <w:b/>
                <w:bCs/>
                <w:sz w:val="20"/>
                <w:szCs w:val="20"/>
              </w:rPr>
              <w:t xml:space="preserve"> hours per group</w:t>
            </w:r>
          </w:p>
        </w:tc>
        <w:tc>
          <w:tcPr>
            <w:tcW w:w="1260" w:type="dxa"/>
          </w:tcPr>
          <w:p w14:paraId="657A305C" w14:textId="00877FE0" w:rsidR="00B952DC" w:rsidRPr="005849DC" w:rsidRDefault="00BA4B12" w:rsidP="00395BD5">
            <w:pPr>
              <w:widowControl/>
              <w:autoSpaceDE/>
              <w:autoSpaceDN/>
              <w:rPr>
                <w:rFonts w:eastAsiaTheme="minorHAnsi"/>
                <w:sz w:val="20"/>
                <w:szCs w:val="20"/>
              </w:rPr>
            </w:pPr>
            <w:r w:rsidRPr="005849DC">
              <w:rPr>
                <w:rFonts w:eastAsiaTheme="minorHAnsi"/>
                <w:sz w:val="20"/>
                <w:szCs w:val="20"/>
              </w:rPr>
              <w:t>148</w:t>
            </w:r>
          </w:p>
        </w:tc>
        <w:tc>
          <w:tcPr>
            <w:tcW w:w="1445" w:type="dxa"/>
          </w:tcPr>
          <w:p w14:paraId="1B9E2000" w14:textId="26476844" w:rsidR="00B952DC" w:rsidRPr="005849DC" w:rsidRDefault="00BA4B12" w:rsidP="00395BD5">
            <w:pPr>
              <w:widowControl/>
              <w:autoSpaceDE/>
              <w:autoSpaceDN/>
              <w:rPr>
                <w:rFonts w:eastAsiaTheme="minorHAnsi"/>
                <w:sz w:val="20"/>
                <w:szCs w:val="20"/>
              </w:rPr>
            </w:pPr>
            <w:r w:rsidRPr="005849DC">
              <w:rPr>
                <w:rFonts w:eastAsiaTheme="minorHAnsi"/>
                <w:sz w:val="20"/>
                <w:szCs w:val="20"/>
              </w:rPr>
              <w:t>75</w:t>
            </w:r>
          </w:p>
        </w:tc>
        <w:tc>
          <w:tcPr>
            <w:tcW w:w="1440" w:type="dxa"/>
          </w:tcPr>
          <w:p w14:paraId="1C3E6D07" w14:textId="7F2FD5AC" w:rsidR="00B952DC" w:rsidRPr="005849DC" w:rsidRDefault="00BA4B12" w:rsidP="00395BD5">
            <w:pPr>
              <w:widowControl/>
              <w:autoSpaceDE/>
              <w:autoSpaceDN/>
              <w:rPr>
                <w:rFonts w:eastAsiaTheme="minorHAnsi"/>
                <w:sz w:val="20"/>
                <w:szCs w:val="20"/>
              </w:rPr>
            </w:pPr>
            <w:r w:rsidRPr="005849DC">
              <w:rPr>
                <w:rFonts w:eastAsiaTheme="minorHAnsi"/>
                <w:sz w:val="20"/>
                <w:szCs w:val="20"/>
              </w:rPr>
              <w:t>36</w:t>
            </w:r>
          </w:p>
        </w:tc>
        <w:tc>
          <w:tcPr>
            <w:tcW w:w="1170" w:type="dxa"/>
          </w:tcPr>
          <w:p w14:paraId="21E974E5" w14:textId="05CF9C7B" w:rsidR="00B952DC" w:rsidRPr="005849DC" w:rsidRDefault="00BA4B12" w:rsidP="00395BD5">
            <w:pPr>
              <w:widowControl/>
              <w:autoSpaceDE/>
              <w:autoSpaceDN/>
              <w:rPr>
                <w:rFonts w:eastAsiaTheme="minorHAnsi"/>
                <w:sz w:val="20"/>
                <w:szCs w:val="20"/>
              </w:rPr>
            </w:pPr>
            <w:r w:rsidRPr="005849DC">
              <w:rPr>
                <w:rFonts w:eastAsiaTheme="minorHAnsi"/>
                <w:sz w:val="20"/>
                <w:szCs w:val="20"/>
              </w:rPr>
              <w:t>300</w:t>
            </w:r>
          </w:p>
        </w:tc>
      </w:tr>
    </w:tbl>
    <w:p w14:paraId="0117557C" w14:textId="00236FA3" w:rsidR="00795A97" w:rsidRDefault="00795A97" w:rsidP="00395BD5">
      <w:pPr>
        <w:pStyle w:val="BodyText"/>
        <w:spacing w:before="9"/>
        <w:rPr>
          <w:sz w:val="23"/>
        </w:rPr>
      </w:pPr>
    </w:p>
    <w:p w14:paraId="6A7E612E" w14:textId="1F1BDF29" w:rsidR="00B07251" w:rsidRDefault="00B07251" w:rsidP="00BF223B">
      <w:pPr>
        <w:pStyle w:val="BodyText"/>
        <w:spacing w:before="9"/>
        <w:ind w:left="900"/>
        <w:rPr>
          <w:sz w:val="23"/>
        </w:rPr>
      </w:pPr>
      <w:r w:rsidRPr="009B2EDC">
        <w:t>While lanes</w:t>
      </w:r>
      <w:r>
        <w:t xml:space="preserve"> are</w:t>
      </w:r>
      <w:r w:rsidRPr="009B2EDC">
        <w:t xml:space="preserve"> assigned based on historical data, </w:t>
      </w:r>
      <w:r w:rsidR="002745A4">
        <w:t xml:space="preserve">when the </w:t>
      </w:r>
      <w:proofErr w:type="gramStart"/>
      <w:r w:rsidRPr="009B2EDC">
        <w:t>City</w:t>
      </w:r>
      <w:proofErr w:type="gramEnd"/>
      <w:r w:rsidRPr="009B2EDC">
        <w:t xml:space="preserve"> staff </w:t>
      </w:r>
      <w:r w:rsidR="002745A4">
        <w:t xml:space="preserve">deems it necessary, they </w:t>
      </w:r>
      <w:r w:rsidRPr="009B2EDC">
        <w:t xml:space="preserve">will work with the </w:t>
      </w:r>
      <w:r>
        <w:t xml:space="preserve">Santa Monica </w:t>
      </w:r>
      <w:r w:rsidRPr="009B2EDC">
        <w:t xml:space="preserve">Aquatics Advisory Council </w:t>
      </w:r>
      <w:r>
        <w:t xml:space="preserve">(SMAAC) </w:t>
      </w:r>
      <w:r w:rsidRPr="009B2EDC">
        <w:t>regarding lane allocations.</w:t>
      </w:r>
      <w:r w:rsidR="002745A4">
        <w:t xml:space="preserve">  The Aquatics Program Manager will contact the chair of the SMAAC to include a discussion item on the next regular meeting or hold a special meeting</w:t>
      </w:r>
      <w:r w:rsidR="002D55AA">
        <w:t xml:space="preserve"> to address the issue.</w:t>
      </w:r>
    </w:p>
    <w:p w14:paraId="1B528692" w14:textId="77777777" w:rsidR="00B07251" w:rsidRDefault="00B07251" w:rsidP="00395BD5">
      <w:pPr>
        <w:pStyle w:val="BodyText"/>
        <w:spacing w:before="9"/>
        <w:rPr>
          <w:sz w:val="23"/>
        </w:rPr>
      </w:pPr>
    </w:p>
    <w:p w14:paraId="142D21D3" w14:textId="39FA3564" w:rsidR="002503BF" w:rsidRPr="005849DC" w:rsidRDefault="002503BF" w:rsidP="005849DC">
      <w:pPr>
        <w:pStyle w:val="ListParagraph"/>
        <w:widowControl/>
        <w:autoSpaceDE/>
        <w:autoSpaceDN/>
        <w:ind w:left="450"/>
        <w:rPr>
          <w:b/>
          <w:bCs/>
          <w:sz w:val="24"/>
          <w:szCs w:val="24"/>
        </w:rPr>
      </w:pPr>
      <w:r w:rsidRPr="005849DC">
        <w:rPr>
          <w:b/>
          <w:bCs/>
          <w:sz w:val="24"/>
          <w:szCs w:val="24"/>
        </w:rPr>
        <w:t>3.4 Existing and New Permit Groups</w:t>
      </w:r>
    </w:p>
    <w:p w14:paraId="37F1D2FD" w14:textId="6E7D5C96" w:rsidR="000218F2" w:rsidRDefault="002503BF" w:rsidP="005849DC">
      <w:pPr>
        <w:pStyle w:val="ListParagraph"/>
        <w:widowControl/>
        <w:autoSpaceDE/>
        <w:autoSpaceDN/>
        <w:ind w:left="860"/>
        <w:rPr>
          <w:sz w:val="24"/>
          <w:szCs w:val="24"/>
        </w:rPr>
      </w:pPr>
      <w:r>
        <w:rPr>
          <w:sz w:val="24"/>
          <w:szCs w:val="24"/>
        </w:rPr>
        <w:t>Permit g</w:t>
      </w:r>
      <w:r w:rsidR="00D074F7" w:rsidRPr="009B2EDC">
        <w:rPr>
          <w:sz w:val="24"/>
          <w:szCs w:val="24"/>
        </w:rPr>
        <w:t>roups that have been a permit group for</w:t>
      </w:r>
      <w:r w:rsidR="003414FF">
        <w:rPr>
          <w:sz w:val="24"/>
          <w:szCs w:val="24"/>
        </w:rPr>
        <w:t xml:space="preserve"> five</w:t>
      </w:r>
      <w:r w:rsidR="00D074F7" w:rsidRPr="009B2EDC">
        <w:rPr>
          <w:sz w:val="24"/>
          <w:szCs w:val="24"/>
        </w:rPr>
        <w:t xml:space="preserve"> or more </w:t>
      </w:r>
      <w:r w:rsidR="00096D3B">
        <w:rPr>
          <w:sz w:val="24"/>
          <w:szCs w:val="24"/>
        </w:rPr>
        <w:t xml:space="preserve">consecutive </w:t>
      </w:r>
      <w:r w:rsidR="00D074F7" w:rsidRPr="009B2EDC">
        <w:rPr>
          <w:sz w:val="24"/>
          <w:szCs w:val="24"/>
        </w:rPr>
        <w:t>years should not</w:t>
      </w:r>
      <w:r w:rsidR="000218F2">
        <w:rPr>
          <w:sz w:val="24"/>
          <w:szCs w:val="24"/>
        </w:rPr>
        <w:t xml:space="preserve"> </w:t>
      </w:r>
      <w:r w:rsidR="00D074F7" w:rsidRPr="009B2EDC">
        <w:rPr>
          <w:sz w:val="24"/>
          <w:szCs w:val="24"/>
        </w:rPr>
        <w:t>have their lane allocation reduced to be given to new group</w:t>
      </w:r>
      <w:r w:rsidR="00AC1A95">
        <w:rPr>
          <w:sz w:val="24"/>
          <w:szCs w:val="24"/>
        </w:rPr>
        <w:t>s</w:t>
      </w:r>
      <w:r w:rsidR="00D074F7" w:rsidRPr="009B2EDC">
        <w:rPr>
          <w:sz w:val="24"/>
          <w:szCs w:val="24"/>
        </w:rPr>
        <w:t xml:space="preserve"> unless they are not </w:t>
      </w:r>
      <w:r w:rsidR="007B5839">
        <w:rPr>
          <w:sz w:val="24"/>
          <w:szCs w:val="24"/>
        </w:rPr>
        <w:t>averaging</w:t>
      </w:r>
      <w:r w:rsidR="000218F2">
        <w:rPr>
          <w:sz w:val="24"/>
          <w:szCs w:val="24"/>
        </w:rPr>
        <w:t xml:space="preserve"> </w:t>
      </w:r>
      <w:r w:rsidR="007B5839">
        <w:rPr>
          <w:sz w:val="24"/>
          <w:szCs w:val="24"/>
        </w:rPr>
        <w:t>th</w:t>
      </w:r>
      <w:r w:rsidR="003221CC">
        <w:rPr>
          <w:sz w:val="24"/>
          <w:szCs w:val="24"/>
        </w:rPr>
        <w:t>e</w:t>
      </w:r>
      <w:r w:rsidR="007B5839">
        <w:rPr>
          <w:sz w:val="24"/>
          <w:szCs w:val="24"/>
        </w:rPr>
        <w:t xml:space="preserve"> lane</w:t>
      </w:r>
      <w:r w:rsidR="00D074F7" w:rsidRPr="009B2EDC">
        <w:rPr>
          <w:sz w:val="24"/>
          <w:szCs w:val="24"/>
        </w:rPr>
        <w:t xml:space="preserve"> utiliz</w:t>
      </w:r>
      <w:r w:rsidR="007B5839">
        <w:rPr>
          <w:sz w:val="24"/>
          <w:szCs w:val="24"/>
        </w:rPr>
        <w:t xml:space="preserve">ation rate described below.  </w:t>
      </w:r>
      <w:r w:rsidR="004F512F">
        <w:rPr>
          <w:sz w:val="24"/>
          <w:szCs w:val="24"/>
        </w:rPr>
        <w:t>If there is no underutilization of lanes, the n</w:t>
      </w:r>
      <w:r w:rsidR="00DF3444">
        <w:rPr>
          <w:sz w:val="24"/>
          <w:szCs w:val="24"/>
        </w:rPr>
        <w:t>ew</w:t>
      </w:r>
      <w:r w:rsidR="000218F2">
        <w:rPr>
          <w:sz w:val="24"/>
          <w:szCs w:val="24"/>
        </w:rPr>
        <w:t xml:space="preserve"> </w:t>
      </w:r>
      <w:r w:rsidR="00DF3444">
        <w:rPr>
          <w:sz w:val="24"/>
          <w:szCs w:val="24"/>
        </w:rPr>
        <w:t xml:space="preserve">permit groups can be given allocations but it </w:t>
      </w:r>
      <w:r w:rsidR="004F512F">
        <w:rPr>
          <w:sz w:val="24"/>
          <w:szCs w:val="24"/>
        </w:rPr>
        <w:t>w</w:t>
      </w:r>
      <w:r w:rsidR="00DF3444">
        <w:rPr>
          <w:sz w:val="24"/>
          <w:szCs w:val="24"/>
        </w:rPr>
        <w:t>ould not come out of the existing permit</w:t>
      </w:r>
      <w:r w:rsidR="000218F2">
        <w:rPr>
          <w:sz w:val="24"/>
          <w:szCs w:val="24"/>
        </w:rPr>
        <w:t xml:space="preserve"> </w:t>
      </w:r>
      <w:r w:rsidR="00DF3444">
        <w:rPr>
          <w:sz w:val="24"/>
          <w:szCs w:val="24"/>
        </w:rPr>
        <w:t>group percentage of pool utilization</w:t>
      </w:r>
      <w:r w:rsidR="004F512F">
        <w:rPr>
          <w:sz w:val="24"/>
          <w:szCs w:val="24"/>
        </w:rPr>
        <w:t xml:space="preserve"> </w:t>
      </w:r>
      <w:r w:rsidR="00DF3444">
        <w:rPr>
          <w:sz w:val="24"/>
          <w:szCs w:val="24"/>
        </w:rPr>
        <w:t>specified in section 3.1.</w:t>
      </w:r>
    </w:p>
    <w:p w14:paraId="46589B20" w14:textId="5044009A" w:rsidR="00C01EFD" w:rsidRPr="005849DC" w:rsidRDefault="00C01EFD" w:rsidP="005849DC">
      <w:pPr>
        <w:widowControl/>
        <w:autoSpaceDE/>
        <w:autoSpaceDN/>
        <w:rPr>
          <w:sz w:val="24"/>
          <w:szCs w:val="24"/>
        </w:rPr>
      </w:pPr>
    </w:p>
    <w:p w14:paraId="57D65C75" w14:textId="445F79DC" w:rsidR="00C01EFD" w:rsidRPr="009B2EDC" w:rsidRDefault="00C01EFD" w:rsidP="005849DC">
      <w:pPr>
        <w:pStyle w:val="BodyText"/>
        <w:numPr>
          <w:ilvl w:val="1"/>
          <w:numId w:val="10"/>
        </w:numPr>
        <w:ind w:right="239" w:hanging="435"/>
        <w:jc w:val="both"/>
        <w:rPr>
          <w:b/>
          <w:bCs/>
        </w:rPr>
      </w:pPr>
      <w:r>
        <w:rPr>
          <w:b/>
          <w:bCs/>
        </w:rPr>
        <w:t xml:space="preserve"> </w:t>
      </w:r>
      <w:r w:rsidRPr="009B2EDC">
        <w:rPr>
          <w:b/>
          <w:bCs/>
        </w:rPr>
        <w:t xml:space="preserve">Lane Utilization </w:t>
      </w:r>
    </w:p>
    <w:p w14:paraId="55A5C9EC" w14:textId="73D8579E" w:rsidR="00C01EFD" w:rsidRDefault="00C01EFD" w:rsidP="005849DC">
      <w:pPr>
        <w:pStyle w:val="BodyText"/>
        <w:ind w:left="720" w:right="239"/>
        <w:jc w:val="both"/>
      </w:pPr>
      <w:r>
        <w:t xml:space="preserve">To ensure efficient and equitable use of the pools in high demand, the following lane utilization </w:t>
      </w:r>
      <w:r w:rsidR="00C114CD">
        <w:t>guidelines</w:t>
      </w:r>
      <w:r>
        <w:t xml:space="preserve"> will be utilized:</w:t>
      </w:r>
    </w:p>
    <w:p w14:paraId="54403F45" w14:textId="77777777" w:rsidR="00C01EFD" w:rsidRDefault="00C01EFD" w:rsidP="005849DC">
      <w:pPr>
        <w:pStyle w:val="BodyText"/>
        <w:ind w:left="885" w:right="239" w:hanging="435"/>
        <w:jc w:val="both"/>
      </w:pPr>
    </w:p>
    <w:tbl>
      <w:tblPr>
        <w:tblStyle w:val="TableGrid"/>
        <w:tblW w:w="8820" w:type="dxa"/>
        <w:tblInd w:w="1075" w:type="dxa"/>
        <w:tblLook w:val="04A0" w:firstRow="1" w:lastRow="0" w:firstColumn="1" w:lastColumn="0" w:noHBand="0" w:noVBand="1"/>
      </w:tblPr>
      <w:tblGrid>
        <w:gridCol w:w="3510"/>
        <w:gridCol w:w="5310"/>
      </w:tblGrid>
      <w:tr w:rsidR="00C01EFD" w:rsidRPr="0035155C" w14:paraId="72A589C5" w14:textId="77777777" w:rsidTr="005849DC">
        <w:tc>
          <w:tcPr>
            <w:tcW w:w="3510" w:type="dxa"/>
          </w:tcPr>
          <w:p w14:paraId="3FC8206B" w14:textId="77777777" w:rsidR="00C01EFD" w:rsidRPr="005849DC" w:rsidRDefault="00C01EFD" w:rsidP="005849DC">
            <w:pPr>
              <w:widowControl/>
              <w:autoSpaceDE/>
              <w:autoSpaceDN/>
              <w:ind w:left="885" w:hanging="810"/>
              <w:rPr>
                <w:rFonts w:eastAsiaTheme="minorHAnsi"/>
                <w:b/>
                <w:bCs/>
                <w:sz w:val="20"/>
                <w:szCs w:val="20"/>
              </w:rPr>
            </w:pPr>
            <w:r w:rsidRPr="005849DC">
              <w:rPr>
                <w:rFonts w:eastAsiaTheme="minorHAnsi"/>
                <w:b/>
                <w:bCs/>
                <w:sz w:val="20"/>
                <w:szCs w:val="20"/>
              </w:rPr>
              <w:t>Group</w:t>
            </w:r>
          </w:p>
        </w:tc>
        <w:tc>
          <w:tcPr>
            <w:tcW w:w="5310" w:type="dxa"/>
          </w:tcPr>
          <w:p w14:paraId="7B90875A" w14:textId="337D7380" w:rsidR="00C01EFD" w:rsidRPr="005849DC" w:rsidRDefault="00C01EFD" w:rsidP="00395BD5">
            <w:pPr>
              <w:widowControl/>
              <w:autoSpaceDE/>
              <w:autoSpaceDN/>
              <w:ind w:left="885" w:hanging="719"/>
              <w:rPr>
                <w:rFonts w:eastAsiaTheme="minorHAnsi"/>
                <w:b/>
                <w:bCs/>
                <w:sz w:val="20"/>
                <w:szCs w:val="20"/>
              </w:rPr>
            </w:pPr>
            <w:r w:rsidRPr="005849DC">
              <w:rPr>
                <w:rFonts w:eastAsiaTheme="minorHAnsi"/>
                <w:b/>
                <w:bCs/>
                <w:sz w:val="20"/>
                <w:szCs w:val="20"/>
              </w:rPr>
              <w:t>Average</w:t>
            </w:r>
            <w:r w:rsidR="0097453B">
              <w:rPr>
                <w:rFonts w:eastAsiaTheme="minorHAnsi"/>
                <w:b/>
                <w:bCs/>
                <w:sz w:val="20"/>
                <w:szCs w:val="20"/>
              </w:rPr>
              <w:t xml:space="preserve"> L</w:t>
            </w:r>
            <w:r w:rsidRPr="005849DC">
              <w:rPr>
                <w:rFonts w:eastAsiaTheme="minorHAnsi"/>
                <w:b/>
                <w:bCs/>
                <w:sz w:val="20"/>
                <w:szCs w:val="20"/>
              </w:rPr>
              <w:t xml:space="preserve">ane </w:t>
            </w:r>
            <w:r w:rsidR="0097453B">
              <w:rPr>
                <w:rFonts w:eastAsiaTheme="minorHAnsi"/>
                <w:b/>
                <w:bCs/>
                <w:sz w:val="20"/>
                <w:szCs w:val="20"/>
              </w:rPr>
              <w:t>U</w:t>
            </w:r>
            <w:r w:rsidRPr="005849DC">
              <w:rPr>
                <w:rFonts w:eastAsiaTheme="minorHAnsi"/>
                <w:b/>
                <w:bCs/>
                <w:sz w:val="20"/>
                <w:szCs w:val="20"/>
              </w:rPr>
              <w:t>tilization (Short Course)</w:t>
            </w:r>
          </w:p>
        </w:tc>
      </w:tr>
      <w:tr w:rsidR="00C01EFD" w:rsidRPr="0035155C" w14:paraId="029D4809" w14:textId="77777777" w:rsidTr="005849DC">
        <w:tc>
          <w:tcPr>
            <w:tcW w:w="3510" w:type="dxa"/>
          </w:tcPr>
          <w:p w14:paraId="53A330FE" w14:textId="77777777" w:rsidR="00C01EFD" w:rsidRPr="005849DC" w:rsidRDefault="00C01EFD" w:rsidP="005849DC">
            <w:pPr>
              <w:widowControl/>
              <w:autoSpaceDE/>
              <w:autoSpaceDN/>
              <w:ind w:left="885" w:hanging="810"/>
              <w:rPr>
                <w:rFonts w:eastAsiaTheme="minorHAnsi"/>
                <w:sz w:val="20"/>
                <w:szCs w:val="20"/>
              </w:rPr>
            </w:pPr>
            <w:r w:rsidRPr="005849DC">
              <w:rPr>
                <w:rFonts w:eastAsiaTheme="minorHAnsi"/>
                <w:sz w:val="20"/>
                <w:szCs w:val="20"/>
              </w:rPr>
              <w:t>Youth organized workouts</w:t>
            </w:r>
          </w:p>
        </w:tc>
        <w:tc>
          <w:tcPr>
            <w:tcW w:w="5310" w:type="dxa"/>
          </w:tcPr>
          <w:p w14:paraId="369B65CD" w14:textId="5A55EBA3" w:rsidR="00C01EFD" w:rsidRPr="005849DC" w:rsidRDefault="009353F6" w:rsidP="005849DC">
            <w:pPr>
              <w:widowControl/>
              <w:autoSpaceDE/>
              <w:autoSpaceDN/>
              <w:ind w:left="885" w:hanging="719"/>
              <w:rPr>
                <w:rFonts w:eastAsiaTheme="minorHAnsi"/>
                <w:sz w:val="20"/>
                <w:szCs w:val="20"/>
              </w:rPr>
            </w:pPr>
            <w:r>
              <w:rPr>
                <w:rFonts w:eastAsiaTheme="minorHAnsi"/>
                <w:sz w:val="20"/>
                <w:szCs w:val="20"/>
              </w:rPr>
              <w:t>4</w:t>
            </w:r>
            <w:r w:rsidR="00C01EFD" w:rsidRPr="005849DC">
              <w:rPr>
                <w:rFonts w:eastAsiaTheme="minorHAnsi"/>
                <w:sz w:val="20"/>
                <w:szCs w:val="20"/>
              </w:rPr>
              <w:t xml:space="preserve"> swimmers per lane </w:t>
            </w:r>
          </w:p>
        </w:tc>
      </w:tr>
      <w:tr w:rsidR="00C01EFD" w:rsidRPr="0035155C" w14:paraId="4A8DDFF1" w14:textId="77777777" w:rsidTr="005849DC">
        <w:tc>
          <w:tcPr>
            <w:tcW w:w="3510" w:type="dxa"/>
          </w:tcPr>
          <w:p w14:paraId="66E13D96" w14:textId="77777777" w:rsidR="00C01EFD" w:rsidRPr="005849DC" w:rsidRDefault="00C01EFD" w:rsidP="005849DC">
            <w:pPr>
              <w:widowControl/>
              <w:autoSpaceDE/>
              <w:autoSpaceDN/>
              <w:ind w:left="885" w:hanging="810"/>
              <w:rPr>
                <w:rFonts w:eastAsiaTheme="minorHAnsi"/>
                <w:sz w:val="20"/>
                <w:szCs w:val="20"/>
              </w:rPr>
            </w:pPr>
            <w:r w:rsidRPr="005849DC">
              <w:rPr>
                <w:rFonts w:eastAsiaTheme="minorHAnsi"/>
                <w:sz w:val="20"/>
                <w:szCs w:val="20"/>
              </w:rPr>
              <w:t>Adult organized workouts</w:t>
            </w:r>
          </w:p>
        </w:tc>
        <w:tc>
          <w:tcPr>
            <w:tcW w:w="5310" w:type="dxa"/>
          </w:tcPr>
          <w:p w14:paraId="6A0485CC" w14:textId="77777777" w:rsidR="00C01EFD" w:rsidRPr="005849DC" w:rsidRDefault="00C01EFD" w:rsidP="005849DC">
            <w:pPr>
              <w:widowControl/>
              <w:autoSpaceDE/>
              <w:autoSpaceDN/>
              <w:ind w:left="885" w:hanging="719"/>
              <w:rPr>
                <w:rFonts w:eastAsiaTheme="minorHAnsi"/>
                <w:sz w:val="20"/>
                <w:szCs w:val="20"/>
              </w:rPr>
            </w:pPr>
            <w:r w:rsidRPr="005849DC">
              <w:rPr>
                <w:rFonts w:eastAsiaTheme="minorHAnsi"/>
                <w:sz w:val="20"/>
                <w:szCs w:val="20"/>
              </w:rPr>
              <w:t>3 swimmers per lane</w:t>
            </w:r>
          </w:p>
        </w:tc>
      </w:tr>
      <w:tr w:rsidR="009353F6" w:rsidRPr="0035155C" w14:paraId="2B0F130A" w14:textId="77777777" w:rsidTr="005849DC">
        <w:tc>
          <w:tcPr>
            <w:tcW w:w="3510" w:type="dxa"/>
          </w:tcPr>
          <w:p w14:paraId="3FD4EB8E" w14:textId="2D3DC3E0" w:rsidR="009353F6" w:rsidRPr="005849DC" w:rsidRDefault="009353F6" w:rsidP="005849DC">
            <w:pPr>
              <w:widowControl/>
              <w:autoSpaceDE/>
              <w:autoSpaceDN/>
              <w:ind w:left="885" w:hanging="810"/>
              <w:rPr>
                <w:rFonts w:eastAsiaTheme="minorHAnsi"/>
                <w:sz w:val="20"/>
                <w:szCs w:val="20"/>
              </w:rPr>
            </w:pPr>
            <w:r w:rsidRPr="005849DC">
              <w:rPr>
                <w:rFonts w:eastAsiaTheme="minorHAnsi"/>
                <w:sz w:val="20"/>
                <w:szCs w:val="20"/>
              </w:rPr>
              <w:t>Disabled person classes</w:t>
            </w:r>
          </w:p>
        </w:tc>
        <w:tc>
          <w:tcPr>
            <w:tcW w:w="5310" w:type="dxa"/>
          </w:tcPr>
          <w:p w14:paraId="665D799B" w14:textId="35904549" w:rsidR="009353F6" w:rsidRPr="005849DC" w:rsidRDefault="009353F6" w:rsidP="005849DC">
            <w:pPr>
              <w:widowControl/>
              <w:autoSpaceDE/>
              <w:autoSpaceDN/>
              <w:ind w:left="885" w:hanging="719"/>
              <w:rPr>
                <w:rFonts w:eastAsiaTheme="minorHAnsi"/>
                <w:sz w:val="20"/>
                <w:szCs w:val="20"/>
              </w:rPr>
            </w:pPr>
            <w:r w:rsidRPr="005849DC">
              <w:rPr>
                <w:rFonts w:eastAsiaTheme="minorHAnsi"/>
                <w:sz w:val="20"/>
                <w:szCs w:val="20"/>
              </w:rPr>
              <w:t>2 s</w:t>
            </w:r>
            <w:r>
              <w:rPr>
                <w:rFonts w:eastAsiaTheme="minorHAnsi"/>
                <w:sz w:val="20"/>
                <w:szCs w:val="20"/>
              </w:rPr>
              <w:t>tudents</w:t>
            </w:r>
            <w:r w:rsidRPr="005849DC">
              <w:rPr>
                <w:rFonts w:eastAsiaTheme="minorHAnsi"/>
                <w:sz w:val="20"/>
                <w:szCs w:val="20"/>
              </w:rPr>
              <w:t xml:space="preserve"> per lane</w:t>
            </w:r>
          </w:p>
        </w:tc>
      </w:tr>
    </w:tbl>
    <w:p w14:paraId="53D59351" w14:textId="77777777" w:rsidR="0035155C" w:rsidRDefault="0035155C" w:rsidP="005849DC">
      <w:pPr>
        <w:pStyle w:val="ListParagraph"/>
        <w:widowControl/>
        <w:autoSpaceDE/>
        <w:autoSpaceDN/>
        <w:rPr>
          <w:sz w:val="24"/>
          <w:szCs w:val="24"/>
        </w:rPr>
      </w:pPr>
    </w:p>
    <w:p w14:paraId="47B6D265" w14:textId="0B4CEAF5" w:rsidR="008B07BF" w:rsidRPr="00AD60F9" w:rsidRDefault="00393165" w:rsidP="00AD60F9">
      <w:pPr>
        <w:pStyle w:val="ListParagraph"/>
        <w:widowControl/>
        <w:autoSpaceDE/>
        <w:autoSpaceDN/>
      </w:pPr>
      <w:r>
        <w:rPr>
          <w:sz w:val="24"/>
          <w:szCs w:val="24"/>
        </w:rPr>
        <w:t>During</w:t>
      </w:r>
      <w:r w:rsidR="007B5839">
        <w:rPr>
          <w:sz w:val="24"/>
          <w:szCs w:val="24"/>
        </w:rPr>
        <w:t xml:space="preserve"> each application period, </w:t>
      </w:r>
      <w:r w:rsidR="00794C86">
        <w:rPr>
          <w:sz w:val="24"/>
          <w:szCs w:val="24"/>
        </w:rPr>
        <w:t>eac</w:t>
      </w:r>
      <w:r>
        <w:rPr>
          <w:sz w:val="24"/>
          <w:szCs w:val="24"/>
        </w:rPr>
        <w:t>h permit group’s lane utilization rate for the previous full season will be calculated with the following formula:</w:t>
      </w:r>
    </w:p>
    <w:p w14:paraId="68712806" w14:textId="084B1A94" w:rsidR="004F512F" w:rsidRPr="00393165" w:rsidRDefault="005C2F9F" w:rsidP="00BF223B">
      <w:pPr>
        <w:pStyle w:val="ListParagraph"/>
        <w:widowControl/>
        <w:autoSpaceDE/>
        <w:autoSpaceDN/>
        <w:spacing w:before="120"/>
        <w:contextualSpacing w:val="0"/>
        <w:jc w:val="center"/>
        <w:rPr>
          <w:sz w:val="24"/>
          <w:szCs w:val="24"/>
          <w:u w:val="single"/>
        </w:rPr>
      </w:pPr>
      <w:r>
        <w:rPr>
          <w:sz w:val="24"/>
          <w:szCs w:val="24"/>
          <w:u w:val="single"/>
        </w:rPr>
        <w:lastRenderedPageBreak/>
        <w:t>n</w:t>
      </w:r>
      <w:r w:rsidR="004F512F" w:rsidRPr="00393165">
        <w:rPr>
          <w:sz w:val="24"/>
          <w:szCs w:val="24"/>
          <w:u w:val="single"/>
        </w:rPr>
        <w:t xml:space="preserve">umber </w:t>
      </w:r>
      <w:proofErr w:type="gramStart"/>
      <w:r w:rsidR="004F512F" w:rsidRPr="00393165">
        <w:rPr>
          <w:sz w:val="24"/>
          <w:szCs w:val="24"/>
          <w:u w:val="single"/>
        </w:rPr>
        <w:t xml:space="preserve">of </w:t>
      </w:r>
      <w:r w:rsidR="00393165">
        <w:rPr>
          <w:sz w:val="24"/>
          <w:szCs w:val="24"/>
          <w:u w:val="single"/>
        </w:rPr>
        <w:t xml:space="preserve"> </w:t>
      </w:r>
      <w:r w:rsidR="004F512F" w:rsidRPr="00393165">
        <w:rPr>
          <w:sz w:val="24"/>
          <w:szCs w:val="24"/>
          <w:u w:val="single"/>
        </w:rPr>
        <w:t>entries</w:t>
      </w:r>
      <w:proofErr w:type="gramEnd"/>
      <w:r w:rsidR="004F512F" w:rsidRPr="00393165">
        <w:rPr>
          <w:sz w:val="24"/>
          <w:szCs w:val="24"/>
          <w:u w:val="single"/>
        </w:rPr>
        <w:t xml:space="preserve"> per season</w:t>
      </w:r>
    </w:p>
    <w:p w14:paraId="623F3C30" w14:textId="20DE8249" w:rsidR="004F512F" w:rsidRPr="00AD60F9" w:rsidRDefault="004F512F" w:rsidP="00BF223B">
      <w:pPr>
        <w:pStyle w:val="ListParagraph"/>
        <w:widowControl/>
        <w:autoSpaceDE/>
        <w:autoSpaceDN/>
        <w:spacing w:after="120"/>
        <w:contextualSpacing w:val="0"/>
      </w:pPr>
      <w:r>
        <w:rPr>
          <w:sz w:val="24"/>
          <w:szCs w:val="24"/>
        </w:rPr>
        <w:tab/>
      </w:r>
      <w:r w:rsidR="00393165">
        <w:rPr>
          <w:sz w:val="24"/>
          <w:szCs w:val="24"/>
        </w:rPr>
        <w:t>(</w:t>
      </w:r>
      <w:r w:rsidR="005C2F9F">
        <w:rPr>
          <w:sz w:val="24"/>
          <w:szCs w:val="24"/>
        </w:rPr>
        <w:t>n</w:t>
      </w:r>
      <w:r>
        <w:rPr>
          <w:sz w:val="24"/>
          <w:szCs w:val="24"/>
        </w:rPr>
        <w:t>umber of allocated lane hours/</w:t>
      </w:r>
      <w:proofErr w:type="gramStart"/>
      <w:r>
        <w:rPr>
          <w:sz w:val="24"/>
          <w:szCs w:val="24"/>
        </w:rPr>
        <w:t>week</w:t>
      </w:r>
      <w:r w:rsidR="00393165">
        <w:rPr>
          <w:sz w:val="24"/>
          <w:szCs w:val="24"/>
        </w:rPr>
        <w:t>)</w:t>
      </w:r>
      <w:r>
        <w:rPr>
          <w:sz w:val="24"/>
          <w:szCs w:val="24"/>
        </w:rPr>
        <w:t xml:space="preserve"> </w:t>
      </w:r>
      <w:r w:rsidR="005C2F9F">
        <w:rPr>
          <w:sz w:val="24"/>
          <w:szCs w:val="24"/>
        </w:rPr>
        <w:t xml:space="preserve"> x</w:t>
      </w:r>
      <w:proofErr w:type="gramEnd"/>
      <w:r>
        <w:rPr>
          <w:sz w:val="24"/>
          <w:szCs w:val="24"/>
        </w:rPr>
        <w:t xml:space="preserve"> </w:t>
      </w:r>
      <w:r w:rsidR="00970AE2">
        <w:rPr>
          <w:sz w:val="24"/>
          <w:szCs w:val="24"/>
        </w:rPr>
        <w:t>(</w:t>
      </w:r>
      <w:r>
        <w:rPr>
          <w:sz w:val="24"/>
          <w:szCs w:val="24"/>
        </w:rPr>
        <w:t>number of weeks</w:t>
      </w:r>
      <w:r w:rsidR="00393165">
        <w:rPr>
          <w:sz w:val="24"/>
          <w:szCs w:val="24"/>
        </w:rPr>
        <w:t>/season</w:t>
      </w:r>
      <w:r w:rsidR="00970AE2">
        <w:rPr>
          <w:sz w:val="24"/>
          <w:szCs w:val="24"/>
        </w:rPr>
        <w:t>)</w:t>
      </w:r>
    </w:p>
    <w:p w14:paraId="53BAF872" w14:textId="58196B89" w:rsidR="00C01EFD" w:rsidRDefault="00794C86" w:rsidP="005849DC">
      <w:pPr>
        <w:pStyle w:val="ListParagraph"/>
        <w:widowControl/>
        <w:autoSpaceDE/>
        <w:autoSpaceDN/>
        <w:rPr>
          <w:sz w:val="24"/>
          <w:szCs w:val="24"/>
        </w:rPr>
      </w:pPr>
      <w:r>
        <w:rPr>
          <w:sz w:val="24"/>
          <w:szCs w:val="24"/>
        </w:rPr>
        <w:t>If a group does not meet the average lane utilization</w:t>
      </w:r>
      <w:r w:rsidR="003221CC">
        <w:rPr>
          <w:sz w:val="24"/>
          <w:szCs w:val="24"/>
        </w:rPr>
        <w:t xml:space="preserve"> rate</w:t>
      </w:r>
      <w:r>
        <w:rPr>
          <w:sz w:val="24"/>
          <w:szCs w:val="24"/>
        </w:rPr>
        <w:t>, then the group</w:t>
      </w:r>
      <w:r w:rsidR="00A105EB">
        <w:rPr>
          <w:sz w:val="24"/>
          <w:szCs w:val="24"/>
        </w:rPr>
        <w:t>’</w:t>
      </w:r>
      <w:r>
        <w:rPr>
          <w:sz w:val="24"/>
          <w:szCs w:val="24"/>
        </w:rPr>
        <w:t>s lanes may be reduced if another group that meets</w:t>
      </w:r>
      <w:r w:rsidR="003221CC">
        <w:rPr>
          <w:sz w:val="24"/>
          <w:szCs w:val="24"/>
        </w:rPr>
        <w:t xml:space="preserve"> or exceeds</w:t>
      </w:r>
      <w:r>
        <w:rPr>
          <w:sz w:val="24"/>
          <w:szCs w:val="24"/>
        </w:rPr>
        <w:t xml:space="preserve"> the average lane utilization</w:t>
      </w:r>
      <w:r w:rsidR="003221CC">
        <w:rPr>
          <w:sz w:val="24"/>
          <w:szCs w:val="24"/>
        </w:rPr>
        <w:t>,</w:t>
      </w:r>
      <w:r>
        <w:rPr>
          <w:sz w:val="24"/>
          <w:szCs w:val="24"/>
        </w:rPr>
        <w:t xml:space="preserve"> requests lanes </w:t>
      </w:r>
      <w:r w:rsidR="00C114CD">
        <w:rPr>
          <w:sz w:val="24"/>
          <w:szCs w:val="24"/>
        </w:rPr>
        <w:t xml:space="preserve">at the same time and location </w:t>
      </w:r>
      <w:r>
        <w:rPr>
          <w:sz w:val="24"/>
          <w:szCs w:val="24"/>
        </w:rPr>
        <w:t>of the group</w:t>
      </w:r>
      <w:r w:rsidR="00A105EB">
        <w:rPr>
          <w:sz w:val="24"/>
          <w:szCs w:val="24"/>
        </w:rPr>
        <w:t xml:space="preserve"> not meeting the lane utilization averages.</w:t>
      </w:r>
    </w:p>
    <w:p w14:paraId="7D5BEB23" w14:textId="77777777" w:rsidR="00C01EFD" w:rsidRPr="005849DC" w:rsidRDefault="00C01EFD" w:rsidP="005849DC">
      <w:pPr>
        <w:pStyle w:val="ListParagraph"/>
        <w:widowControl/>
        <w:autoSpaceDE/>
        <w:autoSpaceDN/>
        <w:ind w:left="885"/>
        <w:rPr>
          <w:sz w:val="24"/>
          <w:szCs w:val="24"/>
        </w:rPr>
      </w:pPr>
    </w:p>
    <w:p w14:paraId="787D8DB2" w14:textId="47CC655A" w:rsidR="00C01EFD" w:rsidRPr="005849DC" w:rsidRDefault="00C01EFD" w:rsidP="005849DC">
      <w:pPr>
        <w:pStyle w:val="ListParagraph"/>
        <w:widowControl/>
        <w:autoSpaceDE/>
        <w:autoSpaceDN/>
        <w:ind w:left="860" w:hanging="320"/>
        <w:rPr>
          <w:b/>
          <w:bCs/>
          <w:sz w:val="24"/>
          <w:szCs w:val="24"/>
        </w:rPr>
      </w:pPr>
      <w:proofErr w:type="gramStart"/>
      <w:r w:rsidRPr="005849DC">
        <w:rPr>
          <w:b/>
          <w:bCs/>
          <w:sz w:val="24"/>
          <w:szCs w:val="24"/>
        </w:rPr>
        <w:t>3.</w:t>
      </w:r>
      <w:r>
        <w:rPr>
          <w:b/>
          <w:bCs/>
          <w:sz w:val="24"/>
          <w:szCs w:val="24"/>
        </w:rPr>
        <w:t>6</w:t>
      </w:r>
      <w:r w:rsidRPr="005849DC">
        <w:rPr>
          <w:b/>
          <w:bCs/>
          <w:sz w:val="24"/>
          <w:szCs w:val="24"/>
        </w:rPr>
        <w:t xml:space="preserve">  Review</w:t>
      </w:r>
      <w:proofErr w:type="gramEnd"/>
      <w:r w:rsidRPr="005849DC">
        <w:rPr>
          <w:b/>
          <w:bCs/>
          <w:sz w:val="24"/>
          <w:szCs w:val="24"/>
        </w:rPr>
        <w:t xml:space="preserve"> of Allocations Before Confirmation of Allocations</w:t>
      </w:r>
    </w:p>
    <w:p w14:paraId="2D9489A9" w14:textId="0AEDE42F" w:rsidR="00AC1A95" w:rsidRPr="00C114CD" w:rsidRDefault="00C01EFD" w:rsidP="005849DC">
      <w:pPr>
        <w:pStyle w:val="ListParagraph"/>
        <w:widowControl/>
        <w:autoSpaceDE/>
        <w:autoSpaceDN/>
        <w:ind w:left="860" w:firstLine="40"/>
        <w:rPr>
          <w:sz w:val="24"/>
        </w:rPr>
      </w:pPr>
      <w:r>
        <w:rPr>
          <w:sz w:val="24"/>
          <w:szCs w:val="24"/>
        </w:rPr>
        <w:t>City Staff will contact and work with permit group</w:t>
      </w:r>
      <w:r w:rsidR="0035155C">
        <w:rPr>
          <w:sz w:val="24"/>
          <w:szCs w:val="24"/>
        </w:rPr>
        <w:t>s before issuing allocation assignments particularly with those groups</w:t>
      </w:r>
      <w:r>
        <w:rPr>
          <w:sz w:val="24"/>
          <w:szCs w:val="24"/>
        </w:rPr>
        <w:t xml:space="preserve"> </w:t>
      </w:r>
      <w:r w:rsidR="000652D3">
        <w:rPr>
          <w:sz w:val="24"/>
          <w:szCs w:val="24"/>
        </w:rPr>
        <w:t>whose</w:t>
      </w:r>
      <w:r>
        <w:rPr>
          <w:sz w:val="24"/>
          <w:szCs w:val="24"/>
        </w:rPr>
        <w:t xml:space="preserve"> potential lane allocations will be significantly less or different from what is requested</w:t>
      </w:r>
      <w:r w:rsidR="0035155C">
        <w:rPr>
          <w:sz w:val="24"/>
          <w:szCs w:val="24"/>
        </w:rPr>
        <w:t>.</w:t>
      </w:r>
    </w:p>
    <w:p w14:paraId="7A01E7D1" w14:textId="7099F604" w:rsidR="008E4AF3" w:rsidRDefault="008E4AF3" w:rsidP="005849DC">
      <w:pPr>
        <w:pStyle w:val="BodyText"/>
        <w:ind w:right="139"/>
        <w:jc w:val="both"/>
      </w:pPr>
    </w:p>
    <w:p w14:paraId="20BAC573" w14:textId="370EC89B" w:rsidR="00FB722E" w:rsidRPr="005849DC" w:rsidRDefault="00E6062F" w:rsidP="005849DC">
      <w:pPr>
        <w:widowControl/>
        <w:autoSpaceDE/>
        <w:autoSpaceDN/>
        <w:ind w:left="450"/>
        <w:rPr>
          <w:b/>
          <w:bCs/>
          <w:sz w:val="24"/>
          <w:szCs w:val="24"/>
        </w:rPr>
      </w:pPr>
      <w:r>
        <w:rPr>
          <w:b/>
          <w:bCs/>
          <w:sz w:val="24"/>
          <w:szCs w:val="24"/>
        </w:rPr>
        <w:t>3.</w:t>
      </w:r>
      <w:r w:rsidR="00C01EFD">
        <w:rPr>
          <w:b/>
          <w:bCs/>
          <w:sz w:val="24"/>
          <w:szCs w:val="24"/>
        </w:rPr>
        <w:t>7</w:t>
      </w:r>
      <w:r>
        <w:rPr>
          <w:b/>
          <w:bCs/>
          <w:sz w:val="24"/>
          <w:szCs w:val="24"/>
        </w:rPr>
        <w:t xml:space="preserve"> </w:t>
      </w:r>
      <w:r w:rsidR="00220393" w:rsidRPr="005849DC">
        <w:rPr>
          <w:b/>
          <w:bCs/>
          <w:sz w:val="24"/>
          <w:szCs w:val="24"/>
        </w:rPr>
        <w:t>Lane Reallocations</w:t>
      </w:r>
    </w:p>
    <w:p w14:paraId="48ED2B44" w14:textId="0D620393" w:rsidR="00FB722E" w:rsidRDefault="00CF03FD" w:rsidP="00395BD5">
      <w:pPr>
        <w:pStyle w:val="BodyText"/>
        <w:ind w:left="810" w:right="239"/>
        <w:jc w:val="both"/>
      </w:pPr>
      <w:r>
        <w:t xml:space="preserve">Once pool permits have been issued, additional pool time will be permitted only if space is available during the time requested. </w:t>
      </w:r>
    </w:p>
    <w:p w14:paraId="042FD0B8" w14:textId="77777777" w:rsidR="00C01EFD" w:rsidRDefault="00C01EFD" w:rsidP="005849DC">
      <w:pPr>
        <w:pStyle w:val="BodyText"/>
        <w:ind w:left="810" w:right="239"/>
        <w:jc w:val="both"/>
      </w:pPr>
    </w:p>
    <w:p w14:paraId="21B127AC" w14:textId="49BFF5A5" w:rsidR="00CF03FD" w:rsidRPr="005849DC" w:rsidRDefault="00A60693" w:rsidP="005849DC">
      <w:pPr>
        <w:pStyle w:val="BodyText"/>
        <w:numPr>
          <w:ilvl w:val="2"/>
          <w:numId w:val="11"/>
        </w:numPr>
        <w:ind w:left="1170" w:right="239" w:hanging="270"/>
        <w:jc w:val="both"/>
        <w:rPr>
          <w:b/>
          <w:bCs/>
        </w:rPr>
      </w:pPr>
      <w:r w:rsidRPr="005849DC">
        <w:rPr>
          <w:b/>
          <w:bCs/>
        </w:rPr>
        <w:t xml:space="preserve"> </w:t>
      </w:r>
      <w:r w:rsidR="00FB722E" w:rsidRPr="005849DC">
        <w:rPr>
          <w:b/>
          <w:bCs/>
        </w:rPr>
        <w:t>Permit group partial and complete cancellations</w:t>
      </w:r>
    </w:p>
    <w:p w14:paraId="00630C2D" w14:textId="5D7FEAC4" w:rsidR="00A40808" w:rsidRDefault="00C40DCC" w:rsidP="00395BD5">
      <w:pPr>
        <w:pStyle w:val="BodyText"/>
        <w:ind w:left="1170" w:right="239"/>
        <w:jc w:val="both"/>
      </w:pPr>
      <w:r>
        <w:t xml:space="preserve">If a permit group </w:t>
      </w:r>
      <w:r w:rsidR="000F4C41">
        <w:t xml:space="preserve">notifies </w:t>
      </w:r>
      <w:r>
        <w:t xml:space="preserve">the </w:t>
      </w:r>
      <w:proofErr w:type="gramStart"/>
      <w:r>
        <w:t>City</w:t>
      </w:r>
      <w:proofErr w:type="gramEnd"/>
      <w:r>
        <w:t xml:space="preserve"> staf</w:t>
      </w:r>
      <w:r w:rsidR="000F4C41">
        <w:t xml:space="preserve">f </w:t>
      </w:r>
      <w:r>
        <w:t>that they will not be using some or all of their allocated lanes</w:t>
      </w:r>
      <w:r w:rsidR="00CB39ED">
        <w:t xml:space="preserve"> ahead of time</w:t>
      </w:r>
      <w:r w:rsidR="000220E9">
        <w:t xml:space="preserve">, </w:t>
      </w:r>
      <w:r>
        <w:t xml:space="preserve">City staff will </w:t>
      </w:r>
      <w:r w:rsidR="00A40808">
        <w:t xml:space="preserve">notify permit holders via email of the lane availability.  </w:t>
      </w:r>
      <w:r w:rsidR="005C2F9F">
        <w:t>T</w:t>
      </w:r>
      <w:r w:rsidR="00A40808">
        <w:t xml:space="preserve">he lanes will be </w:t>
      </w:r>
      <w:r w:rsidR="005C2F9F">
        <w:t>re</w:t>
      </w:r>
      <w:r w:rsidR="00A40808">
        <w:t xml:space="preserve">allocated in the following </w:t>
      </w:r>
      <w:r w:rsidR="005C2F9F">
        <w:t>order</w:t>
      </w:r>
      <w:r w:rsidR="000220E9">
        <w:t>:</w:t>
      </w:r>
    </w:p>
    <w:p w14:paraId="57A6AE9C" w14:textId="0078E12C" w:rsidR="00C40DCC" w:rsidRDefault="00C40DCC" w:rsidP="00395BD5">
      <w:pPr>
        <w:pStyle w:val="BodyText"/>
        <w:numPr>
          <w:ilvl w:val="1"/>
          <w:numId w:val="8"/>
        </w:numPr>
        <w:ind w:right="239" w:hanging="270"/>
        <w:jc w:val="both"/>
      </w:pPr>
      <w:r>
        <w:t>Permit groups that have lanes at the same time</w:t>
      </w:r>
      <w:r w:rsidR="000220E9">
        <w:t xml:space="preserve"> in order of </w:t>
      </w:r>
      <w:r w:rsidR="005A555D">
        <w:t>the</w:t>
      </w:r>
      <w:r w:rsidR="00D14F56">
        <w:t>ir</w:t>
      </w:r>
      <w:r w:rsidR="000220E9">
        <w:t xml:space="preserve"> lane utilization rate</w:t>
      </w:r>
    </w:p>
    <w:p w14:paraId="56B18200" w14:textId="5B8C1ACA" w:rsidR="00475CE3" w:rsidRDefault="000220E9" w:rsidP="005849DC">
      <w:pPr>
        <w:pStyle w:val="BodyText"/>
        <w:numPr>
          <w:ilvl w:val="1"/>
          <w:numId w:val="8"/>
        </w:numPr>
        <w:ind w:right="239" w:hanging="270"/>
        <w:jc w:val="both"/>
      </w:pPr>
      <w:r>
        <w:t>Permit g</w:t>
      </w:r>
      <w:r w:rsidR="00475CE3">
        <w:t>roups in the same priority category in order of their lane utilization rate</w:t>
      </w:r>
    </w:p>
    <w:p w14:paraId="792F9B51" w14:textId="43D0E6A3" w:rsidR="00475CE3" w:rsidRDefault="000220E9" w:rsidP="00395BD5">
      <w:pPr>
        <w:pStyle w:val="BodyText"/>
        <w:numPr>
          <w:ilvl w:val="1"/>
          <w:numId w:val="8"/>
        </w:numPr>
        <w:ind w:right="239" w:hanging="270"/>
        <w:jc w:val="both"/>
      </w:pPr>
      <w:r>
        <w:t>O</w:t>
      </w:r>
      <w:r w:rsidR="00475CE3">
        <w:t xml:space="preserve">ther permit groups in order of </w:t>
      </w:r>
      <w:r w:rsidR="00D14F56">
        <w:t xml:space="preserve">their lane </w:t>
      </w:r>
      <w:r w:rsidR="00475CE3">
        <w:t xml:space="preserve">utilization </w:t>
      </w:r>
      <w:r w:rsidR="007C22C1">
        <w:t>rate</w:t>
      </w:r>
    </w:p>
    <w:p w14:paraId="1A9400CB" w14:textId="74BA4C69" w:rsidR="00143505" w:rsidRDefault="00143505" w:rsidP="00395BD5">
      <w:pPr>
        <w:pStyle w:val="BodyText"/>
        <w:numPr>
          <w:ilvl w:val="1"/>
          <w:numId w:val="8"/>
        </w:numPr>
        <w:ind w:right="239" w:hanging="270"/>
        <w:jc w:val="both"/>
      </w:pPr>
      <w:r>
        <w:t>Lap or recreation swimming</w:t>
      </w:r>
    </w:p>
    <w:p w14:paraId="2A123D26" w14:textId="18C0AEF4" w:rsidR="00CB39ED" w:rsidRDefault="00CB39ED" w:rsidP="00395BD5">
      <w:pPr>
        <w:pStyle w:val="BodyText"/>
        <w:ind w:left="1800" w:right="239"/>
        <w:jc w:val="both"/>
      </w:pPr>
    </w:p>
    <w:p w14:paraId="33047971" w14:textId="70772F68" w:rsidR="00CB39ED" w:rsidRDefault="00CB39ED" w:rsidP="00395BD5">
      <w:pPr>
        <w:pStyle w:val="BodyText"/>
        <w:ind w:left="1170" w:right="239"/>
        <w:jc w:val="both"/>
      </w:pPr>
      <w:r>
        <w:t xml:space="preserve">If a permit group does not use their lanes with little or no advance notice, the lanes will be available to other permit groups </w:t>
      </w:r>
      <w:r w:rsidR="005A555D">
        <w:t>using the pool at the same time in order of lane utilization rate.  This will be done by coordination with the supervisor/manager at the pool.</w:t>
      </w:r>
    </w:p>
    <w:p w14:paraId="2B930432" w14:textId="77777777" w:rsidR="007C22C1" w:rsidRDefault="007C22C1" w:rsidP="005849DC">
      <w:pPr>
        <w:pStyle w:val="BodyText"/>
        <w:ind w:right="239"/>
        <w:jc w:val="both"/>
      </w:pPr>
    </w:p>
    <w:p w14:paraId="392F5F4A" w14:textId="14D94070" w:rsidR="00C01EFD" w:rsidRPr="005849DC" w:rsidRDefault="000F4C41" w:rsidP="005849DC">
      <w:pPr>
        <w:pStyle w:val="BodyText"/>
        <w:ind w:left="1170" w:right="239"/>
        <w:jc w:val="both"/>
        <w:rPr>
          <w:b/>
          <w:bCs/>
        </w:rPr>
      </w:pPr>
      <w:r>
        <w:rPr>
          <w:b/>
          <w:bCs/>
        </w:rPr>
        <w:t>3.7.2 Billing for reallocated lanes</w:t>
      </w:r>
    </w:p>
    <w:p w14:paraId="004EED9A" w14:textId="36241A74" w:rsidR="00E6062F" w:rsidRDefault="000F4C41" w:rsidP="00395BD5">
      <w:pPr>
        <w:pStyle w:val="BodyText"/>
        <w:ind w:left="1170" w:right="239"/>
        <w:jc w:val="both"/>
      </w:pPr>
      <w:r>
        <w:t xml:space="preserve">If a permit group gives less than </w:t>
      </w:r>
      <w:r w:rsidR="008C61CB">
        <w:t>14</w:t>
      </w:r>
      <w:r>
        <w:t xml:space="preserve"> </w:t>
      </w:r>
      <w:r w:rsidR="00143505">
        <w:t>days’ notice</w:t>
      </w:r>
      <w:r>
        <w:t xml:space="preserve"> for cancelling their permit lanes, they will be billed for those lanes unless they are reallocated to another permit group</w:t>
      </w:r>
      <w:r w:rsidR="00AE0715">
        <w:t xml:space="preserve"> ahead of time and the permit group picking up the lanes will be charged for the lanes used.  If the lanes are reallocated with little or no notice, the original permit group will</w:t>
      </w:r>
      <w:r w:rsidR="00985A9D">
        <w:t xml:space="preserve"> still</w:t>
      </w:r>
      <w:r w:rsidR="00AE0715">
        <w:t xml:space="preserve"> be charged for the lanes.</w:t>
      </w:r>
    </w:p>
    <w:p w14:paraId="33F69C7C" w14:textId="77777777" w:rsidR="00610AE6" w:rsidRDefault="00610AE6" w:rsidP="005849DC">
      <w:pPr>
        <w:pStyle w:val="BodyText"/>
        <w:ind w:left="1170" w:right="239"/>
        <w:jc w:val="both"/>
      </w:pPr>
    </w:p>
    <w:p w14:paraId="04B13518" w14:textId="24193B27" w:rsidR="00E6062F" w:rsidRDefault="00E6062F" w:rsidP="005849DC">
      <w:pPr>
        <w:widowControl/>
        <w:autoSpaceDE/>
        <w:autoSpaceDN/>
        <w:ind w:left="450"/>
        <w:rPr>
          <w:b/>
          <w:bCs/>
          <w:sz w:val="24"/>
          <w:szCs w:val="24"/>
        </w:rPr>
      </w:pPr>
      <w:r w:rsidRPr="009B2EDC">
        <w:rPr>
          <w:b/>
          <w:bCs/>
          <w:sz w:val="24"/>
          <w:szCs w:val="24"/>
        </w:rPr>
        <w:t>3.</w:t>
      </w:r>
      <w:r w:rsidR="005772B8">
        <w:rPr>
          <w:b/>
          <w:bCs/>
          <w:sz w:val="24"/>
          <w:szCs w:val="24"/>
        </w:rPr>
        <w:t>8</w:t>
      </w:r>
      <w:r w:rsidRPr="009B2EDC">
        <w:rPr>
          <w:b/>
          <w:bCs/>
          <w:sz w:val="24"/>
          <w:szCs w:val="24"/>
        </w:rPr>
        <w:t xml:space="preserve"> </w:t>
      </w:r>
      <w:r>
        <w:rPr>
          <w:b/>
          <w:bCs/>
          <w:sz w:val="24"/>
          <w:szCs w:val="24"/>
        </w:rPr>
        <w:t>Dispute Resolution Process</w:t>
      </w:r>
    </w:p>
    <w:p w14:paraId="324A4833" w14:textId="51452C7E" w:rsidR="002D55AA" w:rsidRDefault="00E6062F" w:rsidP="002D55AA">
      <w:pPr>
        <w:pStyle w:val="BodyText"/>
        <w:spacing w:before="9"/>
        <w:ind w:left="900"/>
        <w:rPr>
          <w:sz w:val="23"/>
        </w:rPr>
      </w:pPr>
      <w:r>
        <w:t>If a permit group has issues with their lane allocations, they should first address them with the</w:t>
      </w:r>
      <w:r w:rsidR="0022747E">
        <w:t xml:space="preserve"> Aquatics Program Manager</w:t>
      </w:r>
      <w:r>
        <w:t>. If their issue</w:t>
      </w:r>
      <w:r w:rsidR="00610AE6">
        <w:t>s are</w:t>
      </w:r>
      <w:r>
        <w:t xml:space="preserve"> not resolved to their satisfaction, </w:t>
      </w:r>
      <w:r w:rsidR="002D55AA">
        <w:t xml:space="preserve">it should be brought to the Community Recreation Manager.  If the issues </w:t>
      </w:r>
      <w:proofErr w:type="gramStart"/>
      <w:r w:rsidR="002D55AA">
        <w:t>is</w:t>
      </w:r>
      <w:proofErr w:type="gramEnd"/>
      <w:r w:rsidR="002D55AA">
        <w:t xml:space="preserve"> still not resolved, </w:t>
      </w:r>
      <w:r>
        <w:t xml:space="preserve">the permit group can </w:t>
      </w:r>
      <w:r w:rsidR="002D55AA">
        <w:t>make a request to the Aquatics Program Manager and SMAAC chair to include a discussion item on the next regular meeting or hold a special meeting to address the issue.</w:t>
      </w:r>
    </w:p>
    <w:p w14:paraId="24E34547" w14:textId="77777777" w:rsidR="00795A97" w:rsidRPr="005849DC" w:rsidRDefault="00795A97" w:rsidP="005849DC">
      <w:pPr>
        <w:widowControl/>
        <w:autoSpaceDE/>
        <w:autoSpaceDN/>
        <w:spacing w:before="9"/>
        <w:rPr>
          <w:sz w:val="23"/>
        </w:rPr>
      </w:pPr>
    </w:p>
    <w:p w14:paraId="3DE56892" w14:textId="77777777" w:rsidR="00795A97" w:rsidRDefault="00795A97" w:rsidP="00395BD5">
      <w:pPr>
        <w:pStyle w:val="Heading1"/>
      </w:pPr>
      <w:r>
        <w:rPr>
          <w:u w:val="thick"/>
        </w:rPr>
        <w:t>Non-Profit Status</w:t>
      </w:r>
    </w:p>
    <w:p w14:paraId="24E97039" w14:textId="77777777" w:rsidR="00795A97" w:rsidRDefault="00795A97" w:rsidP="00395BD5">
      <w:pPr>
        <w:pStyle w:val="BodyText"/>
        <w:ind w:left="140" w:right="135"/>
        <w:jc w:val="both"/>
      </w:pPr>
      <w:r>
        <w:t xml:space="preserve">In order to be classified as a non-profit organization, verification demonstrating good </w:t>
      </w:r>
      <w:r>
        <w:lastRenderedPageBreak/>
        <w:t>standing with the state of California is required by June 30</w:t>
      </w:r>
      <w:r>
        <w:rPr>
          <w:vertAlign w:val="superscript"/>
        </w:rPr>
        <w:t>th</w:t>
      </w:r>
      <w:r>
        <w:t xml:space="preserve"> of each year for returning organizations and at the time of permit application submission for new applicants. City staff will verify an organization’s status by using the California Office of the Attorney General’s Registry of Charitable Trusts at www.irs.gov/Charities-&amp;-Non-Profits/Search- for-Charities.</w:t>
      </w:r>
    </w:p>
    <w:p w14:paraId="2A83039D" w14:textId="77777777" w:rsidR="00795A97" w:rsidRDefault="00795A97" w:rsidP="00395BD5">
      <w:pPr>
        <w:pStyle w:val="BodyText"/>
        <w:spacing w:before="1"/>
      </w:pPr>
    </w:p>
    <w:p w14:paraId="7F2E6DC1" w14:textId="0F5E5006" w:rsidR="00795A97" w:rsidRDefault="00795A97" w:rsidP="00395BD5">
      <w:pPr>
        <w:pStyle w:val="Heading1"/>
      </w:pPr>
      <w:r>
        <w:rPr>
          <w:u w:val="thick"/>
        </w:rPr>
        <w:t>Residen</w:t>
      </w:r>
      <w:r w:rsidR="00143505">
        <w:rPr>
          <w:u w:val="thick"/>
        </w:rPr>
        <w:t>cy Classification for Prioritization and Billing</w:t>
      </w:r>
    </w:p>
    <w:p w14:paraId="4F037DEB" w14:textId="68064D11" w:rsidR="001E39F5" w:rsidRDefault="00795A97" w:rsidP="00395BD5">
      <w:pPr>
        <w:pStyle w:val="BodyText"/>
        <w:ind w:left="180" w:right="134"/>
        <w:jc w:val="both"/>
      </w:pPr>
      <w:r>
        <w:t xml:space="preserve">In order to qualify as a resident organization or Santa Monica business, at least 50% of the </w:t>
      </w:r>
      <w:r w:rsidR="001F25C5">
        <w:t>entries to</w:t>
      </w:r>
      <w:r>
        <w:t xml:space="preserve"> the Swim Center must be </w:t>
      </w:r>
      <w:r w:rsidR="00A10EBE">
        <w:t xml:space="preserve">by </w:t>
      </w:r>
      <w:r>
        <w:t xml:space="preserve">Santa Monica residents. </w:t>
      </w:r>
      <w:r w:rsidR="00833E68">
        <w:t xml:space="preserve">This will be calculated during the permit application process using the Membership Usage Report for the </w:t>
      </w:r>
      <w:r w:rsidR="00ED7152">
        <w:t>12-month</w:t>
      </w:r>
      <w:r w:rsidR="00C114CD">
        <w:t xml:space="preserve"> period prior to each seasonal application process</w:t>
      </w:r>
      <w:r w:rsidR="00833E68">
        <w:t xml:space="preserve">.  </w:t>
      </w:r>
      <w:r>
        <w:t>Organizations with</w:t>
      </w:r>
      <w:r w:rsidR="001F25C5">
        <w:t xml:space="preserve"> both adult and youth programs are classified separately by program</w:t>
      </w:r>
      <w:r w:rsidR="00985A9D">
        <w:t xml:space="preserve"> and must su</w:t>
      </w:r>
      <w:r w:rsidR="00A50009">
        <w:t>bmit 2 applications for consideration of pool space</w:t>
      </w:r>
      <w:r w:rsidR="001F25C5">
        <w:t xml:space="preserve">.  </w:t>
      </w:r>
      <w:r w:rsidR="001E39F5">
        <w:t>If the percentage of resident entries during this period is greater</w:t>
      </w:r>
      <w:r w:rsidR="00313010">
        <w:t xml:space="preserve"> than 50%</w:t>
      </w:r>
      <w:r w:rsidR="001E39F5">
        <w:t xml:space="preserve">, the organization will be classified as a resident organization for the following season for its priority category and billing. </w:t>
      </w:r>
    </w:p>
    <w:p w14:paraId="28CF3496" w14:textId="0FAB2057" w:rsidR="00795A97" w:rsidRDefault="00795A97" w:rsidP="005849DC">
      <w:pPr>
        <w:pStyle w:val="BodyText"/>
        <w:ind w:right="134"/>
        <w:jc w:val="both"/>
        <w:sectPr w:rsidR="00795A97" w:rsidSect="005849DC">
          <w:type w:val="continuous"/>
          <w:pgSz w:w="12240" w:h="15840" w:code="1"/>
          <w:pgMar w:top="1080" w:right="1296" w:bottom="1080" w:left="1296" w:header="720" w:footer="720" w:gutter="0"/>
          <w:cols w:space="720"/>
        </w:sectPr>
      </w:pPr>
    </w:p>
    <w:p w14:paraId="02F423A7" w14:textId="77777777" w:rsidR="00795A97" w:rsidRDefault="00795A97" w:rsidP="00395BD5">
      <w:pPr>
        <w:pStyle w:val="BodyText"/>
        <w:spacing w:before="1"/>
      </w:pPr>
    </w:p>
    <w:p w14:paraId="39D71184" w14:textId="004889F3" w:rsidR="00833E68" w:rsidRDefault="00833E68" w:rsidP="00395BD5">
      <w:pPr>
        <w:pStyle w:val="BodyText"/>
        <w:ind w:left="140" w:right="234"/>
        <w:jc w:val="both"/>
      </w:pPr>
      <w:r>
        <w:t>Each organization participant must provide proof of residency in the form of a driver’s license or other acceptable form of identification upon entrance to the Swim Center to obtain an Activity Passport photo ID card and to be classified as a resident. Activity Passport cards are used for tracking attendance and must be obtained by residents and non-resident participants. Residents that do not provide proof of residency to Swim Center staff will be classified as non-residents until proof of residency is provided. Organizations may be required to have their members re-verify residency. This will be required no more than once per year with advance notice provided to the organizations.</w:t>
      </w:r>
    </w:p>
    <w:p w14:paraId="79E0EF90" w14:textId="77777777" w:rsidR="00833E68" w:rsidRDefault="00833E68" w:rsidP="00395BD5">
      <w:pPr>
        <w:pStyle w:val="BodyText"/>
        <w:ind w:left="140" w:right="234"/>
        <w:jc w:val="both"/>
      </w:pPr>
    </w:p>
    <w:p w14:paraId="6B087736" w14:textId="2A4DE967" w:rsidR="00795A97" w:rsidRDefault="00C114CD" w:rsidP="00395BD5">
      <w:pPr>
        <w:pStyle w:val="BodyText"/>
        <w:ind w:left="140" w:right="236"/>
        <w:jc w:val="both"/>
      </w:pPr>
      <w:r>
        <w:t>Organizations that have not been a</w:t>
      </w:r>
      <w:r w:rsidR="00566F0E">
        <w:t>n Aquatics</w:t>
      </w:r>
      <w:r>
        <w:t xml:space="preserve"> permit group and o</w:t>
      </w:r>
      <w:r w:rsidR="00795A97">
        <w:t>rganizations that have not applied for a</w:t>
      </w:r>
      <w:r w:rsidR="00566F0E">
        <w:t>n Aquatics</w:t>
      </w:r>
      <w:r w:rsidR="00795A97">
        <w:t xml:space="preserve"> permit within the last 12</w:t>
      </w:r>
      <w:r w:rsidR="003E6E7D">
        <w:t xml:space="preserve"> </w:t>
      </w:r>
      <w:r w:rsidR="00795A97">
        <w:t xml:space="preserve">months will be required to </w:t>
      </w:r>
      <w:proofErr w:type="gramStart"/>
      <w:r w:rsidR="00795A97">
        <w:t>submit  rosters</w:t>
      </w:r>
      <w:proofErr w:type="gramEnd"/>
      <w:r w:rsidR="00795A97">
        <w:t xml:space="preserve"> with full home addresses of participants (business addresses, PO boxes, etc. are not acceptable) at the time of permit application submittal</w:t>
      </w:r>
      <w:r w:rsidR="00566F0E">
        <w:t xml:space="preserve"> for determination of residency.</w:t>
      </w:r>
    </w:p>
    <w:p w14:paraId="244037CE" w14:textId="77777777" w:rsidR="00795A97" w:rsidRDefault="00795A97" w:rsidP="00395BD5">
      <w:pPr>
        <w:pStyle w:val="BodyText"/>
      </w:pPr>
    </w:p>
    <w:p w14:paraId="4EA9933B" w14:textId="77777777" w:rsidR="00795A97" w:rsidRDefault="00795A97" w:rsidP="00395BD5">
      <w:pPr>
        <w:pStyle w:val="Heading1"/>
      </w:pPr>
      <w:r>
        <w:rPr>
          <w:u w:val="thick"/>
        </w:rPr>
        <w:t>Application Process and Timeline</w:t>
      </w:r>
    </w:p>
    <w:p w14:paraId="33D8C8E2" w14:textId="135AED06" w:rsidR="007F7FEA" w:rsidRDefault="00795A97" w:rsidP="00BF223B">
      <w:pPr>
        <w:pStyle w:val="BodyText"/>
        <w:ind w:left="180" w:right="234"/>
        <w:jc w:val="both"/>
      </w:pPr>
      <w:r>
        <w:t xml:space="preserve">Applications for pool permits will be accepted </w:t>
      </w:r>
      <w:r w:rsidR="008E4AF3">
        <w:t>three times</w:t>
      </w:r>
      <w:r w:rsidR="00F70E23">
        <w:t xml:space="preserve"> </w:t>
      </w:r>
      <w:r>
        <w:t>per year for priority processing. Application/permit dates are approximate and may be adjusted based on school calendars and/or staff schedules. Permitting periods may vary each year in order to adhere to the Santa Monica/Malibu Unified School District’s school year calendar, Santa Monica College calendar, and/or Swim Center maintenance schedules.</w:t>
      </w:r>
    </w:p>
    <w:p w14:paraId="29101458" w14:textId="693DF299" w:rsidR="00ED7152" w:rsidRDefault="00ED7152" w:rsidP="00395BD5">
      <w:pPr>
        <w:pStyle w:val="BodyText"/>
        <w:ind w:left="140" w:right="234"/>
        <w:jc w:val="both"/>
      </w:pPr>
    </w:p>
    <w:p w14:paraId="0890C7C1" w14:textId="493C58E1" w:rsidR="00ED7152" w:rsidRDefault="00ED7152" w:rsidP="00395BD5">
      <w:pPr>
        <w:pStyle w:val="BodyText"/>
        <w:ind w:left="140" w:right="234"/>
        <w:jc w:val="both"/>
      </w:pPr>
      <w:r>
        <w:t>Hours requested on the permit application are to include warm up and cool down time.  Permits requested after the application deadline for each permitting period will be issued on a space availability basis.</w:t>
      </w:r>
    </w:p>
    <w:p w14:paraId="45B6AE02" w14:textId="2B3E1398" w:rsidR="00477520" w:rsidRDefault="00477520" w:rsidP="00395BD5">
      <w:pPr>
        <w:pStyle w:val="BodyText"/>
        <w:spacing w:before="67"/>
        <w:ind w:left="140" w:right="136"/>
        <w:jc w:val="both"/>
      </w:pPr>
    </w:p>
    <w:tbl>
      <w:tblPr>
        <w:tblStyle w:val="TableGrid"/>
        <w:tblW w:w="0" w:type="auto"/>
        <w:tblInd w:w="140" w:type="dxa"/>
        <w:tblLook w:val="04A0" w:firstRow="1" w:lastRow="0" w:firstColumn="1" w:lastColumn="0" w:noHBand="0" w:noVBand="1"/>
      </w:tblPr>
      <w:tblGrid>
        <w:gridCol w:w="1588"/>
        <w:gridCol w:w="1433"/>
        <w:gridCol w:w="1698"/>
        <w:gridCol w:w="1701"/>
        <w:gridCol w:w="1363"/>
        <w:gridCol w:w="1707"/>
      </w:tblGrid>
      <w:tr w:rsidR="00A1411F" w:rsidRPr="00C728A8" w14:paraId="6341D6F4" w14:textId="77777777" w:rsidTr="00C728A8">
        <w:tc>
          <w:tcPr>
            <w:tcW w:w="1598" w:type="dxa"/>
          </w:tcPr>
          <w:p w14:paraId="715AAFC2" w14:textId="77777777" w:rsidR="00477520" w:rsidRPr="005849DC" w:rsidRDefault="00477520" w:rsidP="00395BD5">
            <w:pPr>
              <w:pStyle w:val="BodyText"/>
              <w:spacing w:before="67"/>
              <w:ind w:right="136"/>
              <w:jc w:val="both"/>
              <w:rPr>
                <w:b/>
                <w:bCs/>
                <w:sz w:val="18"/>
                <w:szCs w:val="18"/>
              </w:rPr>
            </w:pPr>
          </w:p>
        </w:tc>
        <w:tc>
          <w:tcPr>
            <w:tcW w:w="1407" w:type="dxa"/>
          </w:tcPr>
          <w:p w14:paraId="3246D913" w14:textId="77777777" w:rsidR="00477520" w:rsidRPr="005849DC" w:rsidRDefault="00477520" w:rsidP="00395BD5">
            <w:pPr>
              <w:pStyle w:val="BodyText"/>
              <w:spacing w:before="67"/>
              <w:ind w:right="136"/>
              <w:jc w:val="both"/>
              <w:rPr>
                <w:b/>
                <w:bCs/>
                <w:sz w:val="18"/>
                <w:szCs w:val="18"/>
              </w:rPr>
            </w:pPr>
            <w:r w:rsidRPr="005849DC">
              <w:rPr>
                <w:b/>
                <w:bCs/>
                <w:sz w:val="18"/>
                <w:szCs w:val="18"/>
              </w:rPr>
              <w:t xml:space="preserve">Applications </w:t>
            </w:r>
          </w:p>
          <w:p w14:paraId="3F1594F8" w14:textId="60CE5046" w:rsidR="00477520" w:rsidRPr="005849DC" w:rsidRDefault="00477520" w:rsidP="00395BD5">
            <w:pPr>
              <w:pStyle w:val="BodyText"/>
              <w:spacing w:before="67"/>
              <w:ind w:right="136"/>
              <w:jc w:val="both"/>
              <w:rPr>
                <w:b/>
                <w:bCs/>
                <w:sz w:val="18"/>
                <w:szCs w:val="18"/>
              </w:rPr>
            </w:pPr>
            <w:r w:rsidRPr="005849DC">
              <w:rPr>
                <w:b/>
                <w:bCs/>
                <w:sz w:val="18"/>
                <w:szCs w:val="18"/>
              </w:rPr>
              <w:t>Available</w:t>
            </w:r>
          </w:p>
        </w:tc>
        <w:tc>
          <w:tcPr>
            <w:tcW w:w="1762" w:type="dxa"/>
          </w:tcPr>
          <w:p w14:paraId="1D9E9016" w14:textId="77777777" w:rsidR="00477520" w:rsidRPr="005849DC" w:rsidRDefault="00477520" w:rsidP="00395BD5">
            <w:pPr>
              <w:pStyle w:val="BodyText"/>
              <w:spacing w:before="67"/>
              <w:ind w:right="136"/>
              <w:jc w:val="both"/>
              <w:rPr>
                <w:b/>
                <w:bCs/>
                <w:sz w:val="18"/>
                <w:szCs w:val="18"/>
              </w:rPr>
            </w:pPr>
            <w:r w:rsidRPr="005849DC">
              <w:rPr>
                <w:b/>
                <w:bCs/>
                <w:sz w:val="18"/>
                <w:szCs w:val="18"/>
              </w:rPr>
              <w:t>Application</w:t>
            </w:r>
          </w:p>
          <w:p w14:paraId="3A00D2B9" w14:textId="40FB9B38" w:rsidR="00477520" w:rsidRPr="005849DC" w:rsidRDefault="00477520" w:rsidP="00395BD5">
            <w:pPr>
              <w:pStyle w:val="BodyText"/>
              <w:spacing w:before="67"/>
              <w:ind w:right="136"/>
              <w:jc w:val="both"/>
              <w:rPr>
                <w:b/>
                <w:bCs/>
                <w:sz w:val="18"/>
                <w:szCs w:val="18"/>
              </w:rPr>
            </w:pPr>
            <w:r w:rsidRPr="005849DC">
              <w:rPr>
                <w:b/>
                <w:bCs/>
                <w:sz w:val="18"/>
                <w:szCs w:val="18"/>
              </w:rPr>
              <w:t>Deadline</w:t>
            </w:r>
          </w:p>
        </w:tc>
        <w:tc>
          <w:tcPr>
            <w:tcW w:w="1741" w:type="dxa"/>
          </w:tcPr>
          <w:p w14:paraId="7A03E0B6" w14:textId="77777777" w:rsidR="00C728A8" w:rsidRDefault="00477520" w:rsidP="00395BD5">
            <w:pPr>
              <w:pStyle w:val="BodyText"/>
              <w:spacing w:before="67"/>
              <w:ind w:right="136"/>
              <w:jc w:val="both"/>
              <w:rPr>
                <w:b/>
                <w:bCs/>
                <w:sz w:val="18"/>
                <w:szCs w:val="18"/>
              </w:rPr>
            </w:pPr>
            <w:r w:rsidRPr="005849DC">
              <w:rPr>
                <w:b/>
                <w:bCs/>
                <w:sz w:val="18"/>
                <w:szCs w:val="18"/>
              </w:rPr>
              <w:t>Review/</w:t>
            </w:r>
          </w:p>
          <w:p w14:paraId="0E5E7AF9" w14:textId="02791413" w:rsidR="00477520" w:rsidRPr="005849DC" w:rsidRDefault="00477520" w:rsidP="00395BD5">
            <w:pPr>
              <w:pStyle w:val="BodyText"/>
              <w:spacing w:before="67"/>
              <w:ind w:right="136"/>
              <w:jc w:val="both"/>
              <w:rPr>
                <w:b/>
                <w:bCs/>
                <w:sz w:val="18"/>
                <w:szCs w:val="18"/>
              </w:rPr>
            </w:pPr>
            <w:r w:rsidRPr="005849DC">
              <w:rPr>
                <w:b/>
                <w:bCs/>
                <w:sz w:val="18"/>
                <w:szCs w:val="18"/>
              </w:rPr>
              <w:t>Confirmation</w:t>
            </w:r>
          </w:p>
          <w:p w14:paraId="4CA0DADF" w14:textId="36160819" w:rsidR="00477520" w:rsidRPr="005849DC" w:rsidRDefault="00477520" w:rsidP="00395BD5">
            <w:pPr>
              <w:pStyle w:val="BodyText"/>
              <w:spacing w:before="67"/>
              <w:ind w:right="136"/>
              <w:jc w:val="both"/>
              <w:rPr>
                <w:b/>
                <w:bCs/>
                <w:sz w:val="18"/>
                <w:szCs w:val="18"/>
              </w:rPr>
            </w:pPr>
            <w:r w:rsidRPr="005849DC">
              <w:rPr>
                <w:b/>
                <w:bCs/>
                <w:sz w:val="18"/>
                <w:szCs w:val="18"/>
              </w:rPr>
              <w:t>Of Allocations</w:t>
            </w:r>
          </w:p>
        </w:tc>
        <w:tc>
          <w:tcPr>
            <w:tcW w:w="1183" w:type="dxa"/>
          </w:tcPr>
          <w:p w14:paraId="044477AA" w14:textId="77777777" w:rsidR="00477520" w:rsidRPr="005849DC" w:rsidRDefault="00477520" w:rsidP="00395BD5">
            <w:pPr>
              <w:pStyle w:val="BodyText"/>
              <w:spacing w:before="67"/>
              <w:ind w:right="136"/>
              <w:jc w:val="both"/>
              <w:rPr>
                <w:b/>
                <w:bCs/>
                <w:sz w:val="18"/>
                <w:szCs w:val="18"/>
              </w:rPr>
            </w:pPr>
            <w:r w:rsidRPr="005849DC">
              <w:rPr>
                <w:b/>
                <w:bCs/>
                <w:sz w:val="18"/>
                <w:szCs w:val="18"/>
              </w:rPr>
              <w:t>Permits</w:t>
            </w:r>
          </w:p>
          <w:p w14:paraId="51F98AC8" w14:textId="11882E10" w:rsidR="00477520" w:rsidRPr="005849DC" w:rsidRDefault="00477520" w:rsidP="00395BD5">
            <w:pPr>
              <w:pStyle w:val="BodyText"/>
              <w:spacing w:before="67"/>
              <w:ind w:right="136"/>
              <w:jc w:val="both"/>
              <w:rPr>
                <w:b/>
                <w:bCs/>
                <w:sz w:val="18"/>
                <w:szCs w:val="18"/>
              </w:rPr>
            </w:pPr>
            <w:r w:rsidRPr="005849DC">
              <w:rPr>
                <w:b/>
                <w:bCs/>
                <w:sz w:val="18"/>
                <w:szCs w:val="18"/>
              </w:rPr>
              <w:t>Issued</w:t>
            </w:r>
          </w:p>
        </w:tc>
        <w:tc>
          <w:tcPr>
            <w:tcW w:w="1799" w:type="dxa"/>
          </w:tcPr>
          <w:p w14:paraId="1648FB97" w14:textId="77777777" w:rsidR="00477520" w:rsidRPr="005849DC" w:rsidRDefault="00477520" w:rsidP="00395BD5">
            <w:pPr>
              <w:pStyle w:val="BodyText"/>
              <w:spacing w:before="67"/>
              <w:ind w:right="136"/>
              <w:jc w:val="both"/>
              <w:rPr>
                <w:b/>
                <w:bCs/>
                <w:sz w:val="18"/>
                <w:szCs w:val="18"/>
              </w:rPr>
            </w:pPr>
            <w:r w:rsidRPr="005849DC">
              <w:rPr>
                <w:b/>
                <w:bCs/>
                <w:sz w:val="18"/>
                <w:szCs w:val="18"/>
              </w:rPr>
              <w:t>Permit</w:t>
            </w:r>
          </w:p>
          <w:p w14:paraId="6D4DF877" w14:textId="5DA31B99" w:rsidR="00477520" w:rsidRPr="005849DC" w:rsidRDefault="00477520" w:rsidP="00395BD5">
            <w:pPr>
              <w:pStyle w:val="BodyText"/>
              <w:spacing w:before="67"/>
              <w:ind w:right="136"/>
              <w:jc w:val="both"/>
              <w:rPr>
                <w:b/>
                <w:bCs/>
                <w:sz w:val="18"/>
                <w:szCs w:val="18"/>
              </w:rPr>
            </w:pPr>
            <w:r w:rsidRPr="005849DC">
              <w:rPr>
                <w:b/>
                <w:bCs/>
                <w:sz w:val="18"/>
                <w:szCs w:val="18"/>
              </w:rPr>
              <w:t>Period</w:t>
            </w:r>
          </w:p>
        </w:tc>
      </w:tr>
      <w:tr w:rsidR="00A1411F" w:rsidRPr="00C728A8" w14:paraId="6715B278" w14:textId="77777777" w:rsidTr="00C728A8">
        <w:tc>
          <w:tcPr>
            <w:tcW w:w="1598" w:type="dxa"/>
          </w:tcPr>
          <w:p w14:paraId="6FE033DE" w14:textId="16526613" w:rsidR="00477520" w:rsidRPr="005849DC" w:rsidRDefault="00477520" w:rsidP="00395BD5">
            <w:pPr>
              <w:pStyle w:val="BodyText"/>
              <w:spacing w:before="67"/>
              <w:ind w:right="136"/>
              <w:jc w:val="both"/>
              <w:rPr>
                <w:b/>
                <w:bCs/>
                <w:sz w:val="18"/>
                <w:szCs w:val="18"/>
              </w:rPr>
            </w:pPr>
            <w:r w:rsidRPr="005849DC">
              <w:rPr>
                <w:b/>
                <w:bCs/>
                <w:sz w:val="18"/>
                <w:szCs w:val="18"/>
              </w:rPr>
              <w:t>Summer</w:t>
            </w:r>
          </w:p>
        </w:tc>
        <w:tc>
          <w:tcPr>
            <w:tcW w:w="1407" w:type="dxa"/>
          </w:tcPr>
          <w:p w14:paraId="0732B4B4" w14:textId="65ADE9A0" w:rsidR="00477520" w:rsidRPr="005849DC" w:rsidRDefault="00515787" w:rsidP="00395BD5">
            <w:pPr>
              <w:pStyle w:val="BodyText"/>
              <w:spacing w:before="67"/>
              <w:ind w:right="136"/>
              <w:jc w:val="both"/>
              <w:rPr>
                <w:sz w:val="18"/>
                <w:szCs w:val="18"/>
              </w:rPr>
            </w:pPr>
            <w:r>
              <w:rPr>
                <w:sz w:val="18"/>
                <w:szCs w:val="18"/>
              </w:rPr>
              <w:t xml:space="preserve">Early </w:t>
            </w:r>
            <w:r w:rsidR="008344E8">
              <w:rPr>
                <w:sz w:val="18"/>
                <w:szCs w:val="18"/>
              </w:rPr>
              <w:t>April</w:t>
            </w:r>
          </w:p>
        </w:tc>
        <w:tc>
          <w:tcPr>
            <w:tcW w:w="1762" w:type="dxa"/>
          </w:tcPr>
          <w:p w14:paraId="3F4B03FB" w14:textId="7B490ECA" w:rsidR="00477520" w:rsidRPr="005849DC" w:rsidRDefault="00A1411F" w:rsidP="00395BD5">
            <w:pPr>
              <w:pStyle w:val="BodyText"/>
              <w:spacing w:before="67"/>
              <w:ind w:right="136"/>
              <w:jc w:val="both"/>
              <w:rPr>
                <w:sz w:val="18"/>
                <w:szCs w:val="18"/>
              </w:rPr>
            </w:pPr>
            <w:r>
              <w:rPr>
                <w:sz w:val="18"/>
                <w:szCs w:val="18"/>
              </w:rPr>
              <w:t>Mid-</w:t>
            </w:r>
            <w:r w:rsidR="008344E8">
              <w:rPr>
                <w:sz w:val="18"/>
                <w:szCs w:val="18"/>
              </w:rPr>
              <w:t>April</w:t>
            </w:r>
          </w:p>
        </w:tc>
        <w:tc>
          <w:tcPr>
            <w:tcW w:w="1741" w:type="dxa"/>
          </w:tcPr>
          <w:p w14:paraId="3BE47C91" w14:textId="745CBDD0" w:rsidR="00477520" w:rsidRPr="005849DC" w:rsidRDefault="008344E8" w:rsidP="00395BD5">
            <w:pPr>
              <w:pStyle w:val="BodyText"/>
              <w:spacing w:before="67"/>
              <w:ind w:right="136"/>
              <w:jc w:val="both"/>
              <w:rPr>
                <w:sz w:val="18"/>
                <w:szCs w:val="18"/>
              </w:rPr>
            </w:pPr>
            <w:r>
              <w:rPr>
                <w:sz w:val="18"/>
                <w:szCs w:val="18"/>
              </w:rPr>
              <w:t>Early to Mid</w:t>
            </w:r>
            <w:r w:rsidR="00C934C8">
              <w:rPr>
                <w:sz w:val="18"/>
                <w:szCs w:val="18"/>
              </w:rPr>
              <w:t>-</w:t>
            </w:r>
            <w:r w:rsidR="00C728A8">
              <w:rPr>
                <w:sz w:val="18"/>
                <w:szCs w:val="18"/>
              </w:rPr>
              <w:t>May</w:t>
            </w:r>
          </w:p>
        </w:tc>
        <w:tc>
          <w:tcPr>
            <w:tcW w:w="1183" w:type="dxa"/>
          </w:tcPr>
          <w:p w14:paraId="478B8BFC" w14:textId="74EDBC49" w:rsidR="00477520" w:rsidRPr="005849DC" w:rsidRDefault="008344E8" w:rsidP="00395BD5">
            <w:pPr>
              <w:pStyle w:val="BodyText"/>
              <w:spacing w:before="67"/>
              <w:ind w:right="136"/>
              <w:jc w:val="both"/>
              <w:rPr>
                <w:sz w:val="18"/>
                <w:szCs w:val="18"/>
              </w:rPr>
            </w:pPr>
            <w:r>
              <w:rPr>
                <w:sz w:val="18"/>
                <w:szCs w:val="18"/>
              </w:rPr>
              <w:t>Mid-</w:t>
            </w:r>
            <w:r w:rsidR="00C728A8">
              <w:rPr>
                <w:sz w:val="18"/>
                <w:szCs w:val="18"/>
              </w:rPr>
              <w:t>May</w:t>
            </w:r>
          </w:p>
        </w:tc>
        <w:tc>
          <w:tcPr>
            <w:tcW w:w="1799" w:type="dxa"/>
          </w:tcPr>
          <w:p w14:paraId="1930B8F9" w14:textId="0631C8B4" w:rsidR="00477520" w:rsidRDefault="00C728A8" w:rsidP="00395BD5">
            <w:pPr>
              <w:pStyle w:val="BodyText"/>
              <w:spacing w:before="67"/>
              <w:ind w:right="136"/>
              <w:jc w:val="both"/>
              <w:rPr>
                <w:sz w:val="18"/>
                <w:szCs w:val="18"/>
              </w:rPr>
            </w:pPr>
            <w:r>
              <w:rPr>
                <w:sz w:val="18"/>
                <w:szCs w:val="18"/>
              </w:rPr>
              <w:t>Mid</w:t>
            </w:r>
            <w:r w:rsidR="00515787">
              <w:rPr>
                <w:sz w:val="18"/>
                <w:szCs w:val="18"/>
              </w:rPr>
              <w:t>-</w:t>
            </w:r>
            <w:r>
              <w:rPr>
                <w:sz w:val="18"/>
                <w:szCs w:val="18"/>
              </w:rPr>
              <w:t>June to</w:t>
            </w:r>
          </w:p>
          <w:p w14:paraId="4F861D0F" w14:textId="114032CA" w:rsidR="00C728A8" w:rsidRPr="005849DC" w:rsidRDefault="00C728A8" w:rsidP="00395BD5">
            <w:pPr>
              <w:pStyle w:val="BodyText"/>
              <w:spacing w:before="67"/>
              <w:ind w:right="136"/>
              <w:jc w:val="both"/>
              <w:rPr>
                <w:sz w:val="18"/>
                <w:szCs w:val="18"/>
              </w:rPr>
            </w:pPr>
            <w:r>
              <w:rPr>
                <w:sz w:val="18"/>
                <w:szCs w:val="18"/>
              </w:rPr>
              <w:t>Mid-August</w:t>
            </w:r>
          </w:p>
        </w:tc>
      </w:tr>
      <w:tr w:rsidR="00A1411F" w:rsidRPr="00C728A8" w14:paraId="500AFA9B" w14:textId="77777777" w:rsidTr="00C728A8">
        <w:tc>
          <w:tcPr>
            <w:tcW w:w="1598" w:type="dxa"/>
          </w:tcPr>
          <w:p w14:paraId="466CA69F" w14:textId="34B49388" w:rsidR="00477520" w:rsidRPr="005849DC" w:rsidRDefault="00477520" w:rsidP="00395BD5">
            <w:pPr>
              <w:pStyle w:val="BodyText"/>
              <w:spacing w:before="67"/>
              <w:ind w:right="136"/>
              <w:jc w:val="both"/>
              <w:rPr>
                <w:b/>
                <w:bCs/>
                <w:sz w:val="18"/>
                <w:szCs w:val="18"/>
              </w:rPr>
            </w:pPr>
            <w:r w:rsidRPr="005849DC">
              <w:rPr>
                <w:b/>
                <w:bCs/>
                <w:sz w:val="18"/>
                <w:szCs w:val="18"/>
              </w:rPr>
              <w:t>Fall/Winter</w:t>
            </w:r>
          </w:p>
        </w:tc>
        <w:tc>
          <w:tcPr>
            <w:tcW w:w="1407" w:type="dxa"/>
          </w:tcPr>
          <w:p w14:paraId="5140F35C" w14:textId="13E985C5" w:rsidR="00477520" w:rsidRPr="005849DC" w:rsidRDefault="00A1411F" w:rsidP="00395BD5">
            <w:pPr>
              <w:pStyle w:val="BodyText"/>
              <w:spacing w:before="67"/>
              <w:ind w:right="136"/>
              <w:jc w:val="both"/>
              <w:rPr>
                <w:sz w:val="18"/>
                <w:szCs w:val="18"/>
              </w:rPr>
            </w:pPr>
            <w:r>
              <w:rPr>
                <w:sz w:val="18"/>
                <w:szCs w:val="18"/>
              </w:rPr>
              <w:t>Mid-</w:t>
            </w:r>
            <w:r w:rsidR="00515787">
              <w:rPr>
                <w:sz w:val="18"/>
                <w:szCs w:val="18"/>
              </w:rPr>
              <w:t>Ju</w:t>
            </w:r>
            <w:r w:rsidR="008344E8">
              <w:rPr>
                <w:sz w:val="18"/>
                <w:szCs w:val="18"/>
              </w:rPr>
              <w:t>ne</w:t>
            </w:r>
          </w:p>
        </w:tc>
        <w:tc>
          <w:tcPr>
            <w:tcW w:w="1762" w:type="dxa"/>
          </w:tcPr>
          <w:p w14:paraId="43C4E2D8" w14:textId="2BC55B4E" w:rsidR="00477520" w:rsidRPr="005849DC" w:rsidRDefault="00A1411F" w:rsidP="00395BD5">
            <w:pPr>
              <w:pStyle w:val="BodyText"/>
              <w:spacing w:before="67"/>
              <w:ind w:right="136"/>
              <w:jc w:val="both"/>
              <w:rPr>
                <w:sz w:val="18"/>
                <w:szCs w:val="18"/>
              </w:rPr>
            </w:pPr>
            <w:r>
              <w:rPr>
                <w:sz w:val="18"/>
                <w:szCs w:val="18"/>
              </w:rPr>
              <w:t>Late</w:t>
            </w:r>
            <w:r w:rsidR="008344E8">
              <w:rPr>
                <w:sz w:val="18"/>
                <w:szCs w:val="18"/>
              </w:rPr>
              <w:t xml:space="preserve"> June</w:t>
            </w:r>
          </w:p>
        </w:tc>
        <w:tc>
          <w:tcPr>
            <w:tcW w:w="1741" w:type="dxa"/>
          </w:tcPr>
          <w:p w14:paraId="733F4AD0" w14:textId="4D1CCE3C" w:rsidR="00477520" w:rsidRPr="005849DC" w:rsidRDefault="008344E8" w:rsidP="00395BD5">
            <w:pPr>
              <w:pStyle w:val="BodyText"/>
              <w:spacing w:before="67"/>
              <w:ind w:right="136"/>
              <w:jc w:val="both"/>
              <w:rPr>
                <w:sz w:val="18"/>
                <w:szCs w:val="18"/>
              </w:rPr>
            </w:pPr>
            <w:r>
              <w:rPr>
                <w:sz w:val="18"/>
                <w:szCs w:val="18"/>
              </w:rPr>
              <w:t>Early to Mid-</w:t>
            </w:r>
            <w:r w:rsidR="00C728A8">
              <w:rPr>
                <w:sz w:val="18"/>
                <w:szCs w:val="18"/>
              </w:rPr>
              <w:t>July</w:t>
            </w:r>
          </w:p>
        </w:tc>
        <w:tc>
          <w:tcPr>
            <w:tcW w:w="1183" w:type="dxa"/>
          </w:tcPr>
          <w:p w14:paraId="5E25FF4D" w14:textId="07826C1D" w:rsidR="00477520" w:rsidRPr="005849DC" w:rsidRDefault="008344E8" w:rsidP="00395BD5">
            <w:pPr>
              <w:pStyle w:val="BodyText"/>
              <w:spacing w:before="67"/>
              <w:ind w:right="136"/>
              <w:jc w:val="both"/>
              <w:rPr>
                <w:sz w:val="18"/>
                <w:szCs w:val="18"/>
              </w:rPr>
            </w:pPr>
            <w:r>
              <w:rPr>
                <w:sz w:val="18"/>
                <w:szCs w:val="18"/>
              </w:rPr>
              <w:t>Mid</w:t>
            </w:r>
            <w:r w:rsidR="00EE1150">
              <w:rPr>
                <w:sz w:val="18"/>
                <w:szCs w:val="18"/>
              </w:rPr>
              <w:t>/</w:t>
            </w:r>
            <w:proofErr w:type="spellStart"/>
            <w:r w:rsidR="00EE1150">
              <w:rPr>
                <w:sz w:val="18"/>
                <w:szCs w:val="18"/>
              </w:rPr>
              <w:t>Late</w:t>
            </w:r>
            <w:r w:rsidR="00C728A8">
              <w:rPr>
                <w:sz w:val="18"/>
                <w:szCs w:val="18"/>
              </w:rPr>
              <w:t>July</w:t>
            </w:r>
            <w:proofErr w:type="spellEnd"/>
          </w:p>
        </w:tc>
        <w:tc>
          <w:tcPr>
            <w:tcW w:w="1799" w:type="dxa"/>
          </w:tcPr>
          <w:p w14:paraId="54FA507B" w14:textId="77777777" w:rsidR="00477520" w:rsidRDefault="00C728A8" w:rsidP="00395BD5">
            <w:pPr>
              <w:pStyle w:val="BodyText"/>
              <w:spacing w:before="67"/>
              <w:ind w:right="136"/>
              <w:jc w:val="both"/>
              <w:rPr>
                <w:sz w:val="18"/>
                <w:szCs w:val="18"/>
              </w:rPr>
            </w:pPr>
            <w:r>
              <w:rPr>
                <w:sz w:val="18"/>
                <w:szCs w:val="18"/>
              </w:rPr>
              <w:t>Mid-August to</w:t>
            </w:r>
          </w:p>
          <w:p w14:paraId="72C022FB" w14:textId="0649F49F" w:rsidR="00C728A8" w:rsidRPr="005849DC" w:rsidRDefault="00C728A8" w:rsidP="00395BD5">
            <w:pPr>
              <w:pStyle w:val="BodyText"/>
              <w:spacing w:before="67"/>
              <w:ind w:right="136"/>
              <w:jc w:val="both"/>
              <w:rPr>
                <w:sz w:val="18"/>
                <w:szCs w:val="18"/>
              </w:rPr>
            </w:pPr>
            <w:r>
              <w:rPr>
                <w:sz w:val="18"/>
                <w:szCs w:val="18"/>
              </w:rPr>
              <w:t>End of December</w:t>
            </w:r>
          </w:p>
        </w:tc>
      </w:tr>
      <w:tr w:rsidR="00A1411F" w:rsidRPr="00C728A8" w14:paraId="6B7C7166" w14:textId="77777777" w:rsidTr="00C728A8">
        <w:tc>
          <w:tcPr>
            <w:tcW w:w="1598" w:type="dxa"/>
          </w:tcPr>
          <w:p w14:paraId="503CFD3A" w14:textId="7EFCE3CD" w:rsidR="00477520" w:rsidRPr="005849DC" w:rsidRDefault="00477520" w:rsidP="00395BD5">
            <w:pPr>
              <w:pStyle w:val="BodyText"/>
              <w:spacing w:before="67"/>
              <w:ind w:right="136"/>
              <w:jc w:val="both"/>
              <w:rPr>
                <w:b/>
                <w:bCs/>
                <w:sz w:val="18"/>
                <w:szCs w:val="18"/>
              </w:rPr>
            </w:pPr>
            <w:r w:rsidRPr="005849DC">
              <w:rPr>
                <w:b/>
                <w:bCs/>
                <w:sz w:val="18"/>
                <w:szCs w:val="18"/>
              </w:rPr>
              <w:lastRenderedPageBreak/>
              <w:t>Winter/Spring</w:t>
            </w:r>
          </w:p>
        </w:tc>
        <w:tc>
          <w:tcPr>
            <w:tcW w:w="1407" w:type="dxa"/>
          </w:tcPr>
          <w:p w14:paraId="4ECB69A5" w14:textId="72D0E4CF" w:rsidR="00477520" w:rsidRPr="005849DC" w:rsidRDefault="00A1411F" w:rsidP="00395BD5">
            <w:pPr>
              <w:pStyle w:val="BodyText"/>
              <w:spacing w:before="67"/>
              <w:ind w:right="136"/>
              <w:jc w:val="both"/>
              <w:rPr>
                <w:sz w:val="18"/>
                <w:szCs w:val="18"/>
              </w:rPr>
            </w:pPr>
            <w:r>
              <w:rPr>
                <w:sz w:val="18"/>
                <w:szCs w:val="18"/>
              </w:rPr>
              <w:t>Early November</w:t>
            </w:r>
          </w:p>
        </w:tc>
        <w:tc>
          <w:tcPr>
            <w:tcW w:w="1762" w:type="dxa"/>
          </w:tcPr>
          <w:p w14:paraId="6CA0B508" w14:textId="260D08C9" w:rsidR="00477520" w:rsidRPr="005849DC" w:rsidRDefault="00C934C8" w:rsidP="00395BD5">
            <w:pPr>
              <w:pStyle w:val="BodyText"/>
              <w:spacing w:before="67"/>
              <w:ind w:right="136"/>
              <w:jc w:val="both"/>
              <w:rPr>
                <w:sz w:val="18"/>
                <w:szCs w:val="18"/>
              </w:rPr>
            </w:pPr>
            <w:r>
              <w:rPr>
                <w:sz w:val="18"/>
                <w:szCs w:val="18"/>
              </w:rPr>
              <w:t>Mid-November</w:t>
            </w:r>
          </w:p>
        </w:tc>
        <w:tc>
          <w:tcPr>
            <w:tcW w:w="1741" w:type="dxa"/>
          </w:tcPr>
          <w:p w14:paraId="6C4DE8CB" w14:textId="6F45D06F" w:rsidR="00477520" w:rsidRPr="005849DC" w:rsidRDefault="008344E8" w:rsidP="00395BD5">
            <w:pPr>
              <w:pStyle w:val="BodyText"/>
              <w:spacing w:before="67"/>
              <w:ind w:right="136"/>
              <w:jc w:val="both"/>
              <w:rPr>
                <w:sz w:val="18"/>
                <w:szCs w:val="18"/>
              </w:rPr>
            </w:pPr>
            <w:r>
              <w:rPr>
                <w:sz w:val="18"/>
                <w:szCs w:val="18"/>
              </w:rPr>
              <w:t>Late November</w:t>
            </w:r>
          </w:p>
        </w:tc>
        <w:tc>
          <w:tcPr>
            <w:tcW w:w="1183" w:type="dxa"/>
          </w:tcPr>
          <w:p w14:paraId="03E89B60" w14:textId="75AC63F0" w:rsidR="00477520" w:rsidRPr="005849DC" w:rsidRDefault="00C728A8" w:rsidP="00395BD5">
            <w:pPr>
              <w:pStyle w:val="BodyText"/>
              <w:spacing w:before="67"/>
              <w:ind w:right="136"/>
              <w:jc w:val="both"/>
              <w:rPr>
                <w:sz w:val="18"/>
                <w:szCs w:val="18"/>
              </w:rPr>
            </w:pPr>
            <w:r>
              <w:rPr>
                <w:sz w:val="18"/>
                <w:szCs w:val="18"/>
              </w:rPr>
              <w:t>Early</w:t>
            </w:r>
            <w:r w:rsidR="00A1411F">
              <w:rPr>
                <w:sz w:val="18"/>
                <w:szCs w:val="18"/>
              </w:rPr>
              <w:t>/Mid-</w:t>
            </w:r>
            <w:r>
              <w:rPr>
                <w:sz w:val="18"/>
                <w:szCs w:val="18"/>
              </w:rPr>
              <w:t>December</w:t>
            </w:r>
          </w:p>
        </w:tc>
        <w:tc>
          <w:tcPr>
            <w:tcW w:w="1799" w:type="dxa"/>
          </w:tcPr>
          <w:p w14:paraId="56B4BD25" w14:textId="0D35DF7B" w:rsidR="00477520" w:rsidRDefault="00C728A8" w:rsidP="00395BD5">
            <w:pPr>
              <w:pStyle w:val="BodyText"/>
              <w:spacing w:before="67"/>
              <w:ind w:right="136"/>
              <w:jc w:val="both"/>
              <w:rPr>
                <w:sz w:val="18"/>
                <w:szCs w:val="18"/>
              </w:rPr>
            </w:pPr>
            <w:r>
              <w:rPr>
                <w:sz w:val="18"/>
                <w:szCs w:val="18"/>
              </w:rPr>
              <w:t>January to</w:t>
            </w:r>
          </w:p>
          <w:p w14:paraId="0D9D6D72" w14:textId="57FFEF0D" w:rsidR="00C728A8" w:rsidRPr="005849DC" w:rsidRDefault="00C728A8" w:rsidP="00395BD5">
            <w:pPr>
              <w:pStyle w:val="BodyText"/>
              <w:spacing w:before="67"/>
              <w:ind w:right="136"/>
              <w:jc w:val="both"/>
              <w:rPr>
                <w:sz w:val="18"/>
                <w:szCs w:val="18"/>
              </w:rPr>
            </w:pPr>
            <w:r>
              <w:rPr>
                <w:sz w:val="18"/>
                <w:szCs w:val="18"/>
              </w:rPr>
              <w:t>Mid-June</w:t>
            </w:r>
          </w:p>
        </w:tc>
      </w:tr>
    </w:tbl>
    <w:p w14:paraId="7C9EFB3C" w14:textId="77777777" w:rsidR="00795A97" w:rsidRDefault="00795A97" w:rsidP="00395BD5">
      <w:pPr>
        <w:pStyle w:val="BodyText"/>
        <w:spacing w:before="1"/>
      </w:pPr>
    </w:p>
    <w:p w14:paraId="7A192A86" w14:textId="77777777" w:rsidR="00795A97" w:rsidRDefault="00795A97" w:rsidP="00395BD5">
      <w:pPr>
        <w:pStyle w:val="Heading1"/>
      </w:pPr>
      <w:r>
        <w:rPr>
          <w:u w:val="thick"/>
        </w:rPr>
        <w:t>Cancellations</w:t>
      </w:r>
    </w:p>
    <w:p w14:paraId="562F8A4B" w14:textId="6A116F6D" w:rsidR="00EE1150" w:rsidRDefault="00ED7152" w:rsidP="00395BD5">
      <w:pPr>
        <w:pStyle w:val="BodyText"/>
        <w:ind w:left="140"/>
      </w:pPr>
      <w:r>
        <w:t xml:space="preserve">Credit for cancellations will only be given with </w:t>
      </w:r>
      <w:r w:rsidR="008C61CB">
        <w:t>two</w:t>
      </w:r>
      <w:r w:rsidR="000D4910">
        <w:t xml:space="preserve"> or more </w:t>
      </w:r>
      <w:r>
        <w:t>week</w:t>
      </w:r>
      <w:r w:rsidR="000D4910">
        <w:t>s’</w:t>
      </w:r>
      <w:r>
        <w:t xml:space="preserve"> advanced written notification to Swim Center staff.</w:t>
      </w:r>
    </w:p>
    <w:p w14:paraId="6DD5CB2B" w14:textId="77777777" w:rsidR="00ED7152" w:rsidRDefault="00ED7152" w:rsidP="00395BD5">
      <w:pPr>
        <w:pStyle w:val="BodyText"/>
        <w:ind w:left="140"/>
      </w:pPr>
    </w:p>
    <w:p w14:paraId="618F769C" w14:textId="4930B0FA" w:rsidR="00EE1150" w:rsidRPr="005849DC" w:rsidRDefault="00B35346" w:rsidP="00395BD5">
      <w:pPr>
        <w:pStyle w:val="Heading1"/>
        <w:rPr>
          <w:u w:val="single"/>
        </w:rPr>
      </w:pPr>
      <w:r w:rsidRPr="005849DC">
        <w:rPr>
          <w:u w:val="single"/>
        </w:rPr>
        <w:t>Subletting</w:t>
      </w:r>
    </w:p>
    <w:p w14:paraId="6D711A74" w14:textId="3B5D2A6F" w:rsidR="00ED7152" w:rsidRDefault="00795A97" w:rsidP="005849DC">
      <w:pPr>
        <w:pStyle w:val="BodyText"/>
        <w:ind w:left="140" w:right="73"/>
      </w:pPr>
      <w:r>
        <w:t>Permitted groups cannot sublet their allocated pool space to any other group and will be responsible for paying for all lanes permitted.</w:t>
      </w:r>
    </w:p>
    <w:p w14:paraId="2A2052D2" w14:textId="77777777" w:rsidR="00795A97" w:rsidRDefault="00795A97" w:rsidP="00395BD5">
      <w:pPr>
        <w:pStyle w:val="BodyText"/>
      </w:pPr>
    </w:p>
    <w:p w14:paraId="3515FD09" w14:textId="77777777" w:rsidR="00795A97" w:rsidRDefault="00795A97" w:rsidP="00395BD5">
      <w:pPr>
        <w:pStyle w:val="Heading1"/>
      </w:pPr>
      <w:r>
        <w:rPr>
          <w:u w:val="thick"/>
        </w:rPr>
        <w:t>Permit Group Attendance</w:t>
      </w:r>
    </w:p>
    <w:p w14:paraId="08128C1A" w14:textId="1D545A5C" w:rsidR="00795A97" w:rsidRDefault="00795A97" w:rsidP="00395BD5">
      <w:pPr>
        <w:pStyle w:val="BodyText"/>
        <w:ind w:left="140" w:right="235"/>
        <w:jc w:val="both"/>
      </w:pPr>
      <w:r>
        <w:t xml:space="preserve">Member </w:t>
      </w:r>
      <w:r w:rsidR="00A50009">
        <w:t xml:space="preserve">and coach </w:t>
      </w:r>
      <w:r>
        <w:t xml:space="preserve">information for each organization will be entered into the City’s recreation software system and each </w:t>
      </w:r>
      <w:r w:rsidR="002074AF">
        <w:t>member</w:t>
      </w:r>
      <w:r>
        <w:t xml:space="preserve"> will be issued an Activity Passport card to be swiped upon entering the Swim Center. In the event an organization has a new particip</w:t>
      </w:r>
      <w:r w:rsidR="00CC021D">
        <w:t>ant,</w:t>
      </w:r>
      <w:r>
        <w:t xml:space="preserve"> they will be asked to sign-in upon entry to the Swim Center and be counted as a non-resident unless proof of Santa Monica residency is provided. New members will be given a grace period in which to obtain an Activity Passport card. Members that continually participate with an organization without obtaining an Activity Passport card may be denied access until a card is obtained. Organizations will be required to provide staff with information on new and deleted members on at least a monthly basis in order to update the automated system.</w:t>
      </w:r>
      <w:r w:rsidR="006A11BD">
        <w:t xml:space="preserve">  Permit groups should submit a current roster with each seasonal permit application.  Permit groups can request up to two times per year, a list of the people affiliated with their organization in the Swim Center’s computer system.</w:t>
      </w:r>
    </w:p>
    <w:p w14:paraId="6123C561" w14:textId="77777777" w:rsidR="00795A97" w:rsidRDefault="00795A97" w:rsidP="00395BD5">
      <w:pPr>
        <w:pStyle w:val="BodyText"/>
      </w:pPr>
    </w:p>
    <w:p w14:paraId="3458175F" w14:textId="77777777" w:rsidR="00795A97" w:rsidRDefault="00795A97" w:rsidP="00395BD5">
      <w:pPr>
        <w:pStyle w:val="Heading1"/>
        <w:spacing w:before="1"/>
      </w:pPr>
      <w:r>
        <w:rPr>
          <w:u w:val="thick"/>
        </w:rPr>
        <w:t>Payment</w:t>
      </w:r>
    </w:p>
    <w:p w14:paraId="32855807" w14:textId="020C93A5" w:rsidR="00795A97" w:rsidRDefault="00795A97" w:rsidP="00395BD5">
      <w:pPr>
        <w:pStyle w:val="BodyText"/>
        <w:ind w:left="140" w:right="235"/>
        <w:jc w:val="both"/>
      </w:pPr>
      <w:r>
        <w:t xml:space="preserve">Organizations will be billed </w:t>
      </w:r>
      <w:r w:rsidR="008D2FD7">
        <w:t>monthly</w:t>
      </w:r>
      <w:r>
        <w:t xml:space="preserve"> </w:t>
      </w:r>
      <w:r w:rsidR="008D2FD7">
        <w:t xml:space="preserve">with the estimated date the invoice </w:t>
      </w:r>
      <w:r w:rsidR="001D30C3">
        <w:t xml:space="preserve">is </w:t>
      </w:r>
      <w:r w:rsidR="008D2FD7">
        <w:t>sent being the 15</w:t>
      </w:r>
      <w:r w:rsidR="008D2FD7" w:rsidRPr="005849DC">
        <w:rPr>
          <w:vertAlign w:val="superscript"/>
        </w:rPr>
        <w:t>th</w:t>
      </w:r>
      <w:r w:rsidR="008D2FD7">
        <w:t xml:space="preserve"> of the month</w:t>
      </w:r>
      <w:r>
        <w:t xml:space="preserve">. </w:t>
      </w:r>
      <w:r w:rsidR="008D2FD7">
        <w:t xml:space="preserve">The payment is usually due on the last day of the month. </w:t>
      </w:r>
      <w:r>
        <w:t>Payment is considered delinquent if not received within thirty days of invoice date. Permits may be canceled with lanes reallocated and facility access denied if payment is not received on time. Late payments may also result in loss of priority standing for the following permitting season and a requirement for advance payment may be</w:t>
      </w:r>
      <w:r>
        <w:rPr>
          <w:spacing w:val="-2"/>
        </w:rPr>
        <w:t xml:space="preserve"> </w:t>
      </w:r>
      <w:r>
        <w:t>instituted.</w:t>
      </w:r>
    </w:p>
    <w:p w14:paraId="408EC714" w14:textId="77777777" w:rsidR="00795A97" w:rsidRDefault="00795A97" w:rsidP="00395BD5">
      <w:pPr>
        <w:jc w:val="both"/>
        <w:sectPr w:rsidR="00795A97" w:rsidSect="005849DC">
          <w:type w:val="continuous"/>
          <w:pgSz w:w="12240" w:h="15840" w:code="1"/>
          <w:pgMar w:top="1080" w:right="1300" w:bottom="1080" w:left="1300" w:header="720" w:footer="720" w:gutter="0"/>
          <w:cols w:space="720"/>
        </w:sectPr>
      </w:pPr>
    </w:p>
    <w:p w14:paraId="7FFC7850" w14:textId="77777777" w:rsidR="00795A97" w:rsidRDefault="00795A97" w:rsidP="00395BD5">
      <w:pPr>
        <w:pStyle w:val="BodyText"/>
        <w:spacing w:before="10"/>
        <w:rPr>
          <w:sz w:val="14"/>
        </w:rPr>
      </w:pPr>
    </w:p>
    <w:p w14:paraId="13A090C6" w14:textId="77777777" w:rsidR="00795A97" w:rsidRDefault="00795A97" w:rsidP="005849DC">
      <w:pPr>
        <w:pStyle w:val="BodyText"/>
        <w:spacing w:before="92"/>
        <w:ind w:right="145"/>
        <w:jc w:val="both"/>
      </w:pPr>
      <w:r>
        <w:t>Payments for occasional use permits are due at the time of booking. Permits will not be issued without payment.</w:t>
      </w:r>
    </w:p>
    <w:p w14:paraId="11DEAB36" w14:textId="77777777" w:rsidR="00795A97" w:rsidRDefault="00795A97" w:rsidP="00395BD5">
      <w:pPr>
        <w:pStyle w:val="BodyText"/>
        <w:spacing w:before="3"/>
      </w:pPr>
    </w:p>
    <w:p w14:paraId="265B01B2" w14:textId="77777777" w:rsidR="00795A97" w:rsidRDefault="00795A97" w:rsidP="00395BD5">
      <w:pPr>
        <w:pStyle w:val="Heading1"/>
      </w:pPr>
      <w:r>
        <w:rPr>
          <w:u w:val="thick"/>
        </w:rPr>
        <w:t xml:space="preserve">Tournament Rentals </w:t>
      </w:r>
    </w:p>
    <w:p w14:paraId="0C5CE3A8" w14:textId="256BB0B4" w:rsidR="00795A97" w:rsidRDefault="00795A97" w:rsidP="00395BD5">
      <w:pPr>
        <w:pStyle w:val="BodyText"/>
        <w:ind w:left="140" w:right="134"/>
        <w:jc w:val="both"/>
      </w:pPr>
      <w:r>
        <w:t xml:space="preserve">Organizations can apply for use of </w:t>
      </w:r>
      <w:r w:rsidR="001D30C3">
        <w:t>Community Aquatics facilities</w:t>
      </w:r>
      <w:r>
        <w:t xml:space="preserve"> for tournaments, although the City is limited in the number of tournaments that can be held each year pursuant to the operating conditions for the facility. Fees are charged on a per-hour basis and only include use of the Fitness Pool. Staff will provide </w:t>
      </w:r>
      <w:r w:rsidR="008D2FD7">
        <w:t xml:space="preserve">two </w:t>
      </w:r>
      <w:r w:rsidR="001D30C3">
        <w:t>weeks’ notice</w:t>
      </w:r>
      <w:r>
        <w:t xml:space="preserve"> to permit groups regarding permit changes due to</w:t>
      </w:r>
      <w:r>
        <w:rPr>
          <w:spacing w:val="-4"/>
        </w:rPr>
        <w:t xml:space="preserve"> </w:t>
      </w:r>
      <w:r>
        <w:t>tournaments.</w:t>
      </w:r>
    </w:p>
    <w:p w14:paraId="62965D46" w14:textId="77777777" w:rsidR="00795A97" w:rsidRDefault="00795A97" w:rsidP="00395BD5">
      <w:pPr>
        <w:pStyle w:val="BodyText"/>
        <w:spacing w:before="10"/>
        <w:rPr>
          <w:sz w:val="23"/>
        </w:rPr>
      </w:pPr>
    </w:p>
    <w:p w14:paraId="3D853DF1" w14:textId="77777777" w:rsidR="00795A97" w:rsidRDefault="00795A97" w:rsidP="00395BD5">
      <w:pPr>
        <w:pStyle w:val="Heading1"/>
      </w:pPr>
      <w:r>
        <w:rPr>
          <w:u w:val="thick"/>
        </w:rPr>
        <w:t xml:space="preserve">Prohibited Uses </w:t>
      </w:r>
    </w:p>
    <w:p w14:paraId="3BA61587" w14:textId="2F66B60B" w:rsidR="00795A97" w:rsidRDefault="00795A97" w:rsidP="00395BD5">
      <w:pPr>
        <w:pStyle w:val="BodyText"/>
        <w:ind w:left="140" w:right="135"/>
        <w:jc w:val="both"/>
      </w:pPr>
      <w:r>
        <w:t>Permits will not be issued to organizations that compete with City programs. Private instruction requires authorization by the Director of Community Services.</w:t>
      </w:r>
    </w:p>
    <w:p w14:paraId="6D94A0C0" w14:textId="77777777" w:rsidR="00795A97" w:rsidRDefault="00795A97" w:rsidP="00395BD5">
      <w:pPr>
        <w:pStyle w:val="BodyText"/>
      </w:pPr>
    </w:p>
    <w:p w14:paraId="79E7D53D" w14:textId="77777777" w:rsidR="00795A97" w:rsidRDefault="00795A97" w:rsidP="00395BD5">
      <w:pPr>
        <w:pStyle w:val="Heading1"/>
      </w:pPr>
      <w:r>
        <w:rPr>
          <w:u w:val="thick"/>
        </w:rPr>
        <w:t xml:space="preserve">Facility Closure </w:t>
      </w:r>
    </w:p>
    <w:p w14:paraId="4DEC9027" w14:textId="7DD187B5" w:rsidR="00795A97" w:rsidRDefault="00795A97" w:rsidP="00395BD5">
      <w:pPr>
        <w:pStyle w:val="BodyText"/>
        <w:ind w:left="140" w:right="139"/>
        <w:jc w:val="both"/>
      </w:pPr>
      <w:r>
        <w:t xml:space="preserve">The Santa Monica Swim Center is closed on the following days: Thanksgiving Day, </w:t>
      </w:r>
      <w:r>
        <w:lastRenderedPageBreak/>
        <w:t>December 25</w:t>
      </w:r>
      <w:r>
        <w:rPr>
          <w:vertAlign w:val="superscript"/>
        </w:rPr>
        <w:t>th</w:t>
      </w:r>
      <w:r>
        <w:t>, January 1</w:t>
      </w:r>
      <w:r>
        <w:rPr>
          <w:vertAlign w:val="superscript"/>
        </w:rPr>
        <w:t>st</w:t>
      </w:r>
      <w:r>
        <w:t>, Presidents Day, Martin Luther King Jr. Day, and a minimum of two weeks of closure during the year for facility maintenance and repairs.</w:t>
      </w:r>
      <w:r w:rsidR="00B35346">
        <w:t xml:space="preserve">  Additional days may be added.</w:t>
      </w:r>
    </w:p>
    <w:p w14:paraId="0762FFEA" w14:textId="77777777" w:rsidR="00795A97" w:rsidRDefault="00795A97" w:rsidP="00395BD5">
      <w:pPr>
        <w:pStyle w:val="BodyText"/>
      </w:pPr>
    </w:p>
    <w:p w14:paraId="7C005C04" w14:textId="77777777" w:rsidR="00795A97" w:rsidRDefault="00795A97" w:rsidP="00395BD5">
      <w:pPr>
        <w:pStyle w:val="Heading1"/>
      </w:pPr>
      <w:r>
        <w:rPr>
          <w:u w:val="thick"/>
        </w:rPr>
        <w:t xml:space="preserve">Facility Limited Hours </w:t>
      </w:r>
    </w:p>
    <w:p w14:paraId="34D70582" w14:textId="579CEDAB" w:rsidR="00795A97" w:rsidRDefault="00795A97" w:rsidP="00395BD5">
      <w:pPr>
        <w:pStyle w:val="BodyText"/>
        <w:ind w:left="140" w:right="234"/>
        <w:jc w:val="both"/>
      </w:pPr>
      <w:r>
        <w:t>The Santa Monica Swim Center has limited hours or is closed on the following days: Friday following Thanksgiving Day, December 24</w:t>
      </w:r>
      <w:r>
        <w:rPr>
          <w:vertAlign w:val="superscript"/>
        </w:rPr>
        <w:t>th</w:t>
      </w:r>
      <w:r>
        <w:t>, December 31</w:t>
      </w:r>
      <w:r>
        <w:rPr>
          <w:vertAlign w:val="superscript"/>
        </w:rPr>
        <w:t>st</w:t>
      </w:r>
      <w:r>
        <w:t xml:space="preserve">, </w:t>
      </w:r>
      <w:r w:rsidR="00AA7825">
        <w:t xml:space="preserve">Cesar Chavez Day, </w:t>
      </w:r>
      <w:r>
        <w:t xml:space="preserve">Memorial Day, </w:t>
      </w:r>
      <w:r w:rsidR="00AA7825">
        <w:t>Juneteenth</w:t>
      </w:r>
      <w:r w:rsidR="00152C90">
        <w:t xml:space="preserve">, </w:t>
      </w:r>
      <w:r>
        <w:t>July 4</w:t>
      </w:r>
      <w:r>
        <w:rPr>
          <w:vertAlign w:val="superscript"/>
        </w:rPr>
        <w:t>th</w:t>
      </w:r>
      <w:r>
        <w:t xml:space="preserve">, and Labor </w:t>
      </w:r>
      <w:r>
        <w:rPr>
          <w:spacing w:val="-2"/>
        </w:rPr>
        <w:t>Day</w:t>
      </w:r>
      <w:r>
        <w:t>.</w:t>
      </w:r>
      <w:r w:rsidR="00B35346">
        <w:t xml:space="preserve">  Additional days may be added.</w:t>
      </w:r>
    </w:p>
    <w:p w14:paraId="37FB100A" w14:textId="77777777" w:rsidR="00795A97" w:rsidRDefault="00795A97" w:rsidP="00395BD5">
      <w:pPr>
        <w:pStyle w:val="BodyText"/>
        <w:spacing w:before="9"/>
        <w:rPr>
          <w:sz w:val="23"/>
        </w:rPr>
      </w:pPr>
    </w:p>
    <w:p w14:paraId="35A311DF" w14:textId="68C6ACC5" w:rsidR="00795A97" w:rsidRDefault="00795A97" w:rsidP="00395BD5">
      <w:pPr>
        <w:pStyle w:val="Heading1"/>
        <w:spacing w:before="1"/>
      </w:pPr>
      <w:r>
        <w:rPr>
          <w:u w:val="thick"/>
        </w:rPr>
        <w:t xml:space="preserve">Permit </w:t>
      </w:r>
      <w:r w:rsidR="00443100">
        <w:rPr>
          <w:u w:val="thick"/>
        </w:rPr>
        <w:t xml:space="preserve">Group </w:t>
      </w:r>
      <w:r>
        <w:rPr>
          <w:u w:val="thick"/>
        </w:rPr>
        <w:t xml:space="preserve">Rules </w:t>
      </w:r>
    </w:p>
    <w:p w14:paraId="4BF1615E" w14:textId="463B70DC" w:rsidR="00795A97" w:rsidRDefault="00795A97" w:rsidP="00395BD5">
      <w:pPr>
        <w:pStyle w:val="BodyText"/>
        <w:ind w:left="140" w:right="138"/>
        <w:jc w:val="both"/>
      </w:pPr>
      <w:r>
        <w:t xml:space="preserve">The Santa Monica Swim Center Permit Group Rules are designed to help provide a safe and successful experience. Organizations are responsible for ensuring their staff and participants follow these rules. </w:t>
      </w:r>
      <w:r w:rsidR="002C045E">
        <w:t xml:space="preserve">  The Permit Group Rules are agreed to by the permit groups as a part of the permit application process.</w:t>
      </w:r>
    </w:p>
    <w:p w14:paraId="06312653" w14:textId="77777777" w:rsidR="00795A97" w:rsidRDefault="00795A97" w:rsidP="00395BD5">
      <w:pPr>
        <w:pStyle w:val="BodyText"/>
        <w:spacing w:before="2"/>
      </w:pPr>
    </w:p>
    <w:p w14:paraId="2BEFD840" w14:textId="60F307B2" w:rsidR="00795A97" w:rsidRDefault="00795A97" w:rsidP="005849DC">
      <w:pPr>
        <w:pStyle w:val="BodyText"/>
        <w:ind w:left="140"/>
        <w:jc w:val="both"/>
        <w:rPr>
          <w:sz w:val="31"/>
        </w:rPr>
      </w:pPr>
      <w:r>
        <w:t>Permit holder</w:t>
      </w:r>
      <w:r w:rsidR="00B35346">
        <w:t xml:space="preserve"> participants and representatives</w:t>
      </w:r>
      <w:r>
        <w:t xml:space="preserve"> must abide by the following Code of Conduct:</w:t>
      </w:r>
    </w:p>
    <w:p w14:paraId="2B47E27F" w14:textId="77777777" w:rsidR="00795A97" w:rsidRDefault="00795A97" w:rsidP="003D4584">
      <w:pPr>
        <w:pStyle w:val="ListParagraph"/>
        <w:numPr>
          <w:ilvl w:val="1"/>
          <w:numId w:val="14"/>
        </w:numPr>
        <w:tabs>
          <w:tab w:val="left" w:pos="540"/>
        </w:tabs>
        <w:ind w:hanging="1400"/>
        <w:contextualSpacing w:val="0"/>
        <w:rPr>
          <w:sz w:val="24"/>
        </w:rPr>
      </w:pPr>
      <w:r>
        <w:rPr>
          <w:sz w:val="24"/>
        </w:rPr>
        <w:t>Permit holders shall be respectful of the swim center and facility</w:t>
      </w:r>
      <w:r>
        <w:rPr>
          <w:spacing w:val="-14"/>
          <w:sz w:val="24"/>
        </w:rPr>
        <w:t xml:space="preserve"> </w:t>
      </w:r>
      <w:r>
        <w:rPr>
          <w:sz w:val="24"/>
        </w:rPr>
        <w:t>users</w:t>
      </w:r>
    </w:p>
    <w:p w14:paraId="6BBC17FB" w14:textId="77777777" w:rsidR="00486128" w:rsidRDefault="00795A97" w:rsidP="003D4584">
      <w:pPr>
        <w:pStyle w:val="ListParagraph"/>
        <w:numPr>
          <w:ilvl w:val="1"/>
          <w:numId w:val="14"/>
        </w:numPr>
        <w:tabs>
          <w:tab w:val="left" w:pos="540"/>
        </w:tabs>
        <w:spacing w:before="1"/>
        <w:ind w:hanging="1400"/>
        <w:contextualSpacing w:val="0"/>
        <w:rPr>
          <w:sz w:val="24"/>
        </w:rPr>
      </w:pPr>
      <w:r>
        <w:rPr>
          <w:sz w:val="24"/>
        </w:rPr>
        <w:t>Permit holders shall be respectful of City</w:t>
      </w:r>
      <w:r>
        <w:rPr>
          <w:spacing w:val="-10"/>
          <w:sz w:val="24"/>
        </w:rPr>
        <w:t xml:space="preserve"> </w:t>
      </w:r>
      <w:r>
        <w:rPr>
          <w:sz w:val="24"/>
        </w:rPr>
        <w:t>staff</w:t>
      </w:r>
    </w:p>
    <w:p w14:paraId="1BEB47E2" w14:textId="7684C33A" w:rsidR="00D11BC9" w:rsidRPr="00BF223B" w:rsidRDefault="00D11BC9" w:rsidP="00BF223B">
      <w:pPr>
        <w:pStyle w:val="ListParagraph"/>
        <w:numPr>
          <w:ilvl w:val="1"/>
          <w:numId w:val="14"/>
        </w:numPr>
        <w:tabs>
          <w:tab w:val="left" w:pos="540"/>
        </w:tabs>
        <w:spacing w:before="1"/>
        <w:ind w:left="180" w:firstLine="0"/>
        <w:contextualSpacing w:val="0"/>
        <w:rPr>
          <w:sz w:val="24"/>
        </w:rPr>
      </w:pPr>
      <w:r w:rsidRPr="005849DC">
        <w:rPr>
          <w:sz w:val="24"/>
        </w:rPr>
        <w:t>Permit holders shall be respectful of other permit holders and their</w:t>
      </w:r>
      <w:r w:rsidRPr="005849DC">
        <w:rPr>
          <w:spacing w:val="-15"/>
          <w:sz w:val="24"/>
        </w:rPr>
        <w:t xml:space="preserve"> </w:t>
      </w:r>
      <w:r w:rsidRPr="005849DC">
        <w:rPr>
          <w:sz w:val="24"/>
        </w:rPr>
        <w:t>clients</w:t>
      </w:r>
    </w:p>
    <w:p w14:paraId="0CC401C4" w14:textId="331C600E" w:rsidR="004F59BF" w:rsidRPr="005849DC" w:rsidRDefault="004F59BF" w:rsidP="00395BD5">
      <w:pPr>
        <w:pStyle w:val="BodyText"/>
        <w:spacing w:before="10"/>
        <w:rPr>
          <w:u w:val="single"/>
        </w:rPr>
      </w:pPr>
    </w:p>
    <w:p w14:paraId="3BFC4BA0" w14:textId="7E65C93F" w:rsidR="00712128" w:rsidRPr="00DA3920" w:rsidRDefault="004F59BF" w:rsidP="00395BD5">
      <w:pPr>
        <w:pStyle w:val="Heading1"/>
        <w:rPr>
          <w:u w:val="single"/>
        </w:rPr>
      </w:pPr>
      <w:r w:rsidRPr="00DA3920">
        <w:rPr>
          <w:u w:val="single"/>
        </w:rPr>
        <w:t xml:space="preserve">Pool Allocation Guidelines for Permit Groups </w:t>
      </w:r>
      <w:r w:rsidR="00712128" w:rsidRPr="00DA3920">
        <w:rPr>
          <w:u w:val="single"/>
        </w:rPr>
        <w:t>Approval</w:t>
      </w:r>
    </w:p>
    <w:p w14:paraId="7AAE6C3C" w14:textId="0E52D8E9" w:rsidR="002256B9" w:rsidRDefault="002256B9" w:rsidP="00395BD5">
      <w:pPr>
        <w:pStyle w:val="Heading1"/>
        <w:numPr>
          <w:ilvl w:val="0"/>
          <w:numId w:val="0"/>
        </w:numPr>
        <w:ind w:left="180"/>
        <w:rPr>
          <w:b w:val="0"/>
          <w:bCs w:val="0"/>
        </w:rPr>
      </w:pPr>
      <w:r>
        <w:rPr>
          <w:b w:val="0"/>
          <w:bCs w:val="0"/>
        </w:rPr>
        <w:t xml:space="preserve">This </w:t>
      </w:r>
      <w:r w:rsidR="004F59BF" w:rsidRPr="005849DC">
        <w:rPr>
          <w:b w:val="0"/>
          <w:bCs w:val="0"/>
        </w:rPr>
        <w:t xml:space="preserve">document is </w:t>
      </w:r>
      <w:r>
        <w:rPr>
          <w:b w:val="0"/>
          <w:bCs w:val="0"/>
        </w:rPr>
        <w:t>approved</w:t>
      </w:r>
      <w:r w:rsidR="004F59BF" w:rsidRPr="005849DC">
        <w:rPr>
          <w:b w:val="0"/>
          <w:bCs w:val="0"/>
        </w:rPr>
        <w:t xml:space="preserve"> by the </w:t>
      </w:r>
      <w:r>
        <w:rPr>
          <w:b w:val="0"/>
          <w:bCs w:val="0"/>
        </w:rPr>
        <w:t xml:space="preserve">Santa Monica Community Services </w:t>
      </w:r>
      <w:r w:rsidR="00FD4361">
        <w:rPr>
          <w:b w:val="0"/>
          <w:bCs w:val="0"/>
        </w:rPr>
        <w:t xml:space="preserve">Recreation Department </w:t>
      </w:r>
      <w:r w:rsidR="004F59BF" w:rsidRPr="005849DC">
        <w:rPr>
          <w:b w:val="0"/>
          <w:bCs w:val="0"/>
        </w:rPr>
        <w:t xml:space="preserve">and </w:t>
      </w:r>
      <w:r w:rsidR="00A1515E">
        <w:rPr>
          <w:b w:val="0"/>
          <w:bCs w:val="0"/>
        </w:rPr>
        <w:t xml:space="preserve">the </w:t>
      </w:r>
      <w:r>
        <w:rPr>
          <w:b w:val="0"/>
          <w:bCs w:val="0"/>
        </w:rPr>
        <w:t xml:space="preserve">Santa Monica </w:t>
      </w:r>
      <w:r w:rsidR="004F59BF" w:rsidRPr="005849DC">
        <w:rPr>
          <w:b w:val="0"/>
          <w:bCs w:val="0"/>
        </w:rPr>
        <w:t>Aquatics Advisory Committee</w:t>
      </w:r>
      <w:r w:rsidR="00FD4361">
        <w:rPr>
          <w:b w:val="0"/>
          <w:bCs w:val="0"/>
        </w:rPr>
        <w:t xml:space="preserve"> on October 18, 2022.</w:t>
      </w:r>
    </w:p>
    <w:p w14:paraId="20262BD7" w14:textId="4481BB12" w:rsidR="002256B9" w:rsidRDefault="002256B9" w:rsidP="005849DC">
      <w:pPr>
        <w:ind w:left="180"/>
      </w:pPr>
    </w:p>
    <w:p w14:paraId="0A2A9888" w14:textId="57DAF6DC" w:rsidR="00FD4361" w:rsidRDefault="00FD4361" w:rsidP="00FD4361"/>
    <w:p w14:paraId="193A96BF" w14:textId="77777777" w:rsidR="00A25079" w:rsidRDefault="00A25079" w:rsidP="005849DC">
      <w:pPr>
        <w:pStyle w:val="BodyText"/>
        <w:spacing w:before="10"/>
      </w:pPr>
    </w:p>
    <w:sectPr w:rsidR="00A25079" w:rsidSect="005849DC">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867F" w14:textId="77777777" w:rsidR="00FD59C8" w:rsidRDefault="00FD59C8">
      <w:r>
        <w:separator/>
      </w:r>
    </w:p>
  </w:endnote>
  <w:endnote w:type="continuationSeparator" w:id="0">
    <w:p w14:paraId="0713C851" w14:textId="77777777" w:rsidR="00FD59C8" w:rsidRDefault="00FD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57707"/>
      <w:docPartObj>
        <w:docPartGallery w:val="Page Numbers (Bottom of Page)"/>
        <w:docPartUnique/>
      </w:docPartObj>
    </w:sdtPr>
    <w:sdtEndPr>
      <w:rPr>
        <w:noProof/>
      </w:rPr>
    </w:sdtEndPr>
    <w:sdtContent>
      <w:p w14:paraId="51BEF3B0" w14:textId="410E9A23" w:rsidR="00645AEB" w:rsidRDefault="00645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45BEF" w14:textId="13F286B0" w:rsidR="009E1A0D"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13B1" w14:textId="77777777" w:rsidR="00FD59C8" w:rsidRDefault="00FD59C8">
      <w:r>
        <w:separator/>
      </w:r>
    </w:p>
  </w:footnote>
  <w:footnote w:type="continuationSeparator" w:id="0">
    <w:p w14:paraId="1EA0FA66" w14:textId="77777777" w:rsidR="00FD59C8" w:rsidRDefault="00FD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762"/>
    <w:multiLevelType w:val="hybridMultilevel"/>
    <w:tmpl w:val="73284066"/>
    <w:lvl w:ilvl="0" w:tplc="E2986C14">
      <w:start w:val="1"/>
      <w:numFmt w:val="decimal"/>
      <w:lvlText w:val="%1."/>
      <w:lvlJc w:val="left"/>
      <w:pPr>
        <w:ind w:left="860" w:hanging="360"/>
      </w:pPr>
      <w:rPr>
        <w:rFonts w:ascii="Arial" w:eastAsia="Arial" w:hAnsi="Arial" w:cs="Arial" w:hint="default"/>
        <w:w w:val="100"/>
        <w:sz w:val="24"/>
        <w:szCs w:val="24"/>
        <w:lang w:val="en-US" w:eastAsia="en-US" w:bidi="ar-SA"/>
      </w:rPr>
    </w:lvl>
    <w:lvl w:ilvl="1" w:tplc="A852EBE6">
      <w:numFmt w:val="bullet"/>
      <w:lvlText w:val="•"/>
      <w:lvlJc w:val="left"/>
      <w:pPr>
        <w:ind w:left="1738" w:hanging="360"/>
      </w:pPr>
      <w:rPr>
        <w:rFonts w:hint="default"/>
        <w:lang w:val="en-US" w:eastAsia="en-US" w:bidi="ar-SA"/>
      </w:rPr>
    </w:lvl>
    <w:lvl w:ilvl="2" w:tplc="7CD0BA48">
      <w:numFmt w:val="bullet"/>
      <w:lvlText w:val="•"/>
      <w:lvlJc w:val="left"/>
      <w:pPr>
        <w:ind w:left="2616" w:hanging="360"/>
      </w:pPr>
      <w:rPr>
        <w:rFonts w:hint="default"/>
        <w:lang w:val="en-US" w:eastAsia="en-US" w:bidi="ar-SA"/>
      </w:rPr>
    </w:lvl>
    <w:lvl w:ilvl="3" w:tplc="DF08BC88">
      <w:numFmt w:val="bullet"/>
      <w:lvlText w:val="•"/>
      <w:lvlJc w:val="left"/>
      <w:pPr>
        <w:ind w:left="3494" w:hanging="360"/>
      </w:pPr>
      <w:rPr>
        <w:rFonts w:hint="default"/>
        <w:lang w:val="en-US" w:eastAsia="en-US" w:bidi="ar-SA"/>
      </w:rPr>
    </w:lvl>
    <w:lvl w:ilvl="4" w:tplc="35A0A58E">
      <w:numFmt w:val="bullet"/>
      <w:lvlText w:val="•"/>
      <w:lvlJc w:val="left"/>
      <w:pPr>
        <w:ind w:left="4372" w:hanging="360"/>
      </w:pPr>
      <w:rPr>
        <w:rFonts w:hint="default"/>
        <w:lang w:val="en-US" w:eastAsia="en-US" w:bidi="ar-SA"/>
      </w:rPr>
    </w:lvl>
    <w:lvl w:ilvl="5" w:tplc="A822C7E8">
      <w:numFmt w:val="bullet"/>
      <w:lvlText w:val="•"/>
      <w:lvlJc w:val="left"/>
      <w:pPr>
        <w:ind w:left="5250" w:hanging="360"/>
      </w:pPr>
      <w:rPr>
        <w:rFonts w:hint="default"/>
        <w:lang w:val="en-US" w:eastAsia="en-US" w:bidi="ar-SA"/>
      </w:rPr>
    </w:lvl>
    <w:lvl w:ilvl="6" w:tplc="8410D6C8">
      <w:numFmt w:val="bullet"/>
      <w:lvlText w:val="•"/>
      <w:lvlJc w:val="left"/>
      <w:pPr>
        <w:ind w:left="6128" w:hanging="360"/>
      </w:pPr>
      <w:rPr>
        <w:rFonts w:hint="default"/>
        <w:lang w:val="en-US" w:eastAsia="en-US" w:bidi="ar-SA"/>
      </w:rPr>
    </w:lvl>
    <w:lvl w:ilvl="7" w:tplc="41C6AAE6">
      <w:numFmt w:val="bullet"/>
      <w:lvlText w:val="•"/>
      <w:lvlJc w:val="left"/>
      <w:pPr>
        <w:ind w:left="7006" w:hanging="360"/>
      </w:pPr>
      <w:rPr>
        <w:rFonts w:hint="default"/>
        <w:lang w:val="en-US" w:eastAsia="en-US" w:bidi="ar-SA"/>
      </w:rPr>
    </w:lvl>
    <w:lvl w:ilvl="8" w:tplc="B0808990">
      <w:numFmt w:val="bullet"/>
      <w:lvlText w:val="•"/>
      <w:lvlJc w:val="left"/>
      <w:pPr>
        <w:ind w:left="7884" w:hanging="360"/>
      </w:pPr>
      <w:rPr>
        <w:rFonts w:hint="default"/>
        <w:lang w:val="en-US" w:eastAsia="en-US" w:bidi="ar-SA"/>
      </w:rPr>
    </w:lvl>
  </w:abstractNum>
  <w:abstractNum w:abstractNumId="1" w15:restartNumberingAfterBreak="0">
    <w:nsid w:val="193120A3"/>
    <w:multiLevelType w:val="hybridMultilevel"/>
    <w:tmpl w:val="679EB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F1A0D"/>
    <w:multiLevelType w:val="hybridMultilevel"/>
    <w:tmpl w:val="E8943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30B9F"/>
    <w:multiLevelType w:val="multilevel"/>
    <w:tmpl w:val="E450662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84E14"/>
    <w:multiLevelType w:val="hybridMultilevel"/>
    <w:tmpl w:val="85DE092E"/>
    <w:lvl w:ilvl="0" w:tplc="E7868BEC">
      <w:start w:val="1"/>
      <w:numFmt w:val="decimal"/>
      <w:lvlText w:val="%1)"/>
      <w:lvlJc w:val="left"/>
      <w:pPr>
        <w:ind w:left="860" w:hanging="360"/>
      </w:pPr>
      <w:rPr>
        <w:rFonts w:ascii="Arial" w:eastAsia="Arial" w:hAnsi="Arial" w:cs="Arial" w:hint="default"/>
        <w:w w:val="99"/>
        <w:sz w:val="24"/>
        <w:szCs w:val="24"/>
        <w:lang w:val="en-US" w:eastAsia="en-US" w:bidi="ar-SA"/>
      </w:rPr>
    </w:lvl>
    <w:lvl w:ilvl="1" w:tplc="88A492A4">
      <w:start w:val="1"/>
      <w:numFmt w:val="lowerLetter"/>
      <w:lvlText w:val="%2)"/>
      <w:lvlJc w:val="left"/>
      <w:pPr>
        <w:ind w:left="1580" w:hanging="360"/>
      </w:pPr>
      <w:rPr>
        <w:rFonts w:ascii="Arial" w:eastAsia="Arial" w:hAnsi="Arial" w:cs="Arial" w:hint="default"/>
        <w:w w:val="99"/>
        <w:sz w:val="24"/>
        <w:szCs w:val="24"/>
        <w:lang w:val="en-US" w:eastAsia="en-US" w:bidi="ar-SA"/>
      </w:rPr>
    </w:lvl>
    <w:lvl w:ilvl="2" w:tplc="2BC47B86">
      <w:numFmt w:val="bullet"/>
      <w:lvlText w:val="•"/>
      <w:lvlJc w:val="left"/>
      <w:pPr>
        <w:ind w:left="2475" w:hanging="360"/>
      </w:pPr>
      <w:rPr>
        <w:rFonts w:hint="default"/>
        <w:lang w:val="en-US" w:eastAsia="en-US" w:bidi="ar-SA"/>
      </w:rPr>
    </w:lvl>
    <w:lvl w:ilvl="3" w:tplc="530A1A9E">
      <w:numFmt w:val="bullet"/>
      <w:lvlText w:val="•"/>
      <w:lvlJc w:val="left"/>
      <w:pPr>
        <w:ind w:left="3371" w:hanging="360"/>
      </w:pPr>
      <w:rPr>
        <w:rFonts w:hint="default"/>
        <w:lang w:val="en-US" w:eastAsia="en-US" w:bidi="ar-SA"/>
      </w:rPr>
    </w:lvl>
    <w:lvl w:ilvl="4" w:tplc="66B47668">
      <w:numFmt w:val="bullet"/>
      <w:lvlText w:val="•"/>
      <w:lvlJc w:val="left"/>
      <w:pPr>
        <w:ind w:left="4266" w:hanging="360"/>
      </w:pPr>
      <w:rPr>
        <w:rFonts w:hint="default"/>
        <w:lang w:val="en-US" w:eastAsia="en-US" w:bidi="ar-SA"/>
      </w:rPr>
    </w:lvl>
    <w:lvl w:ilvl="5" w:tplc="F20E8502">
      <w:numFmt w:val="bullet"/>
      <w:lvlText w:val="•"/>
      <w:lvlJc w:val="left"/>
      <w:pPr>
        <w:ind w:left="5162" w:hanging="360"/>
      </w:pPr>
      <w:rPr>
        <w:rFonts w:hint="default"/>
        <w:lang w:val="en-US" w:eastAsia="en-US" w:bidi="ar-SA"/>
      </w:rPr>
    </w:lvl>
    <w:lvl w:ilvl="6" w:tplc="2D02FE2C">
      <w:numFmt w:val="bullet"/>
      <w:lvlText w:val="•"/>
      <w:lvlJc w:val="left"/>
      <w:pPr>
        <w:ind w:left="6057" w:hanging="360"/>
      </w:pPr>
      <w:rPr>
        <w:rFonts w:hint="default"/>
        <w:lang w:val="en-US" w:eastAsia="en-US" w:bidi="ar-SA"/>
      </w:rPr>
    </w:lvl>
    <w:lvl w:ilvl="7" w:tplc="68C02C04">
      <w:numFmt w:val="bullet"/>
      <w:lvlText w:val="•"/>
      <w:lvlJc w:val="left"/>
      <w:pPr>
        <w:ind w:left="6953" w:hanging="360"/>
      </w:pPr>
      <w:rPr>
        <w:rFonts w:hint="default"/>
        <w:lang w:val="en-US" w:eastAsia="en-US" w:bidi="ar-SA"/>
      </w:rPr>
    </w:lvl>
    <w:lvl w:ilvl="8" w:tplc="11449B68">
      <w:numFmt w:val="bullet"/>
      <w:lvlText w:val="•"/>
      <w:lvlJc w:val="left"/>
      <w:pPr>
        <w:ind w:left="7848" w:hanging="360"/>
      </w:pPr>
      <w:rPr>
        <w:rFonts w:hint="default"/>
        <w:lang w:val="en-US" w:eastAsia="en-US" w:bidi="ar-SA"/>
      </w:rPr>
    </w:lvl>
  </w:abstractNum>
  <w:abstractNum w:abstractNumId="5" w15:restartNumberingAfterBreak="0">
    <w:nsid w:val="322F7642"/>
    <w:multiLevelType w:val="multilevel"/>
    <w:tmpl w:val="42D09E6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DF7D7A"/>
    <w:multiLevelType w:val="multilevel"/>
    <w:tmpl w:val="2340B828"/>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ED0CB6"/>
    <w:multiLevelType w:val="multilevel"/>
    <w:tmpl w:val="ADFC1AE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92035D"/>
    <w:multiLevelType w:val="hybridMultilevel"/>
    <w:tmpl w:val="225470E8"/>
    <w:lvl w:ilvl="0" w:tplc="FFFFFFFF">
      <w:start w:val="1"/>
      <w:numFmt w:val="decimal"/>
      <w:lvlText w:val="%1)"/>
      <w:lvlJc w:val="left"/>
      <w:pPr>
        <w:ind w:left="860" w:hanging="360"/>
      </w:pPr>
      <w:rPr>
        <w:rFonts w:ascii="Arial" w:eastAsia="Arial" w:hAnsi="Arial" w:cs="Arial" w:hint="default"/>
        <w:w w:val="99"/>
        <w:sz w:val="24"/>
        <w:szCs w:val="24"/>
        <w:lang w:val="en-US" w:eastAsia="en-US" w:bidi="ar-SA"/>
      </w:rPr>
    </w:lvl>
    <w:lvl w:ilvl="1" w:tplc="FFFFFFFF">
      <w:start w:val="1"/>
      <w:numFmt w:val="lowerLetter"/>
      <w:lvlText w:val="%2)"/>
      <w:lvlJc w:val="left"/>
      <w:pPr>
        <w:ind w:left="1580" w:hanging="360"/>
      </w:pPr>
      <w:rPr>
        <w:rFonts w:ascii="Arial" w:eastAsia="Arial" w:hAnsi="Arial" w:cs="Arial" w:hint="default"/>
        <w:w w:val="99"/>
        <w:sz w:val="24"/>
        <w:szCs w:val="24"/>
        <w:lang w:val="en-US" w:eastAsia="en-US" w:bidi="ar-SA"/>
      </w:rPr>
    </w:lvl>
    <w:lvl w:ilvl="2" w:tplc="FFFFFFFF">
      <w:numFmt w:val="bullet"/>
      <w:lvlText w:val="•"/>
      <w:lvlJc w:val="left"/>
      <w:pPr>
        <w:ind w:left="2475" w:hanging="360"/>
      </w:pPr>
      <w:rPr>
        <w:rFonts w:hint="default"/>
        <w:lang w:val="en-US" w:eastAsia="en-US" w:bidi="ar-SA"/>
      </w:rPr>
    </w:lvl>
    <w:lvl w:ilvl="3" w:tplc="FFFFFFFF">
      <w:numFmt w:val="bullet"/>
      <w:lvlText w:val="•"/>
      <w:lvlJc w:val="left"/>
      <w:pPr>
        <w:ind w:left="3371"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162" w:hanging="360"/>
      </w:pPr>
      <w:rPr>
        <w:rFonts w:hint="default"/>
        <w:lang w:val="en-US" w:eastAsia="en-US" w:bidi="ar-SA"/>
      </w:rPr>
    </w:lvl>
    <w:lvl w:ilvl="6" w:tplc="FFFFFFFF">
      <w:numFmt w:val="bullet"/>
      <w:lvlText w:val="•"/>
      <w:lvlJc w:val="left"/>
      <w:pPr>
        <w:ind w:left="6057" w:hanging="360"/>
      </w:pPr>
      <w:rPr>
        <w:rFonts w:hint="default"/>
        <w:lang w:val="en-US" w:eastAsia="en-US" w:bidi="ar-SA"/>
      </w:rPr>
    </w:lvl>
    <w:lvl w:ilvl="7" w:tplc="FFFFFFFF">
      <w:numFmt w:val="bullet"/>
      <w:lvlText w:val="•"/>
      <w:lvlJc w:val="left"/>
      <w:pPr>
        <w:ind w:left="6953" w:hanging="360"/>
      </w:pPr>
      <w:rPr>
        <w:rFonts w:hint="default"/>
        <w:lang w:val="en-US" w:eastAsia="en-US" w:bidi="ar-SA"/>
      </w:rPr>
    </w:lvl>
    <w:lvl w:ilvl="8" w:tplc="FFFFFFFF">
      <w:numFmt w:val="bullet"/>
      <w:lvlText w:val="•"/>
      <w:lvlJc w:val="left"/>
      <w:pPr>
        <w:ind w:left="7848" w:hanging="360"/>
      </w:pPr>
      <w:rPr>
        <w:rFonts w:hint="default"/>
        <w:lang w:val="en-US" w:eastAsia="en-US" w:bidi="ar-SA"/>
      </w:rPr>
    </w:lvl>
  </w:abstractNum>
  <w:abstractNum w:abstractNumId="9" w15:restartNumberingAfterBreak="0">
    <w:nsid w:val="6A7275F7"/>
    <w:multiLevelType w:val="hybridMultilevel"/>
    <w:tmpl w:val="6A28FD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6A87193D"/>
    <w:multiLevelType w:val="hybridMultilevel"/>
    <w:tmpl w:val="C14A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47FD7"/>
    <w:multiLevelType w:val="hybridMultilevel"/>
    <w:tmpl w:val="25C6A98A"/>
    <w:lvl w:ilvl="0" w:tplc="6EF0519E">
      <w:start w:val="1"/>
      <w:numFmt w:val="decimal"/>
      <w:lvlText w:val="%1)"/>
      <w:lvlJc w:val="left"/>
      <w:pPr>
        <w:ind w:left="860" w:hanging="360"/>
      </w:pPr>
      <w:rPr>
        <w:rFonts w:ascii="Arial" w:eastAsia="Arial" w:hAnsi="Arial" w:cs="Arial" w:hint="default"/>
        <w:w w:val="99"/>
        <w:sz w:val="24"/>
        <w:szCs w:val="24"/>
        <w:lang w:val="en-US" w:eastAsia="en-US" w:bidi="ar-SA"/>
      </w:rPr>
    </w:lvl>
    <w:lvl w:ilvl="1" w:tplc="FFFFFFFF">
      <w:start w:val="1"/>
      <w:numFmt w:val="lowerLetter"/>
      <w:lvlText w:val="%2)"/>
      <w:lvlJc w:val="left"/>
      <w:pPr>
        <w:ind w:left="1580" w:hanging="360"/>
      </w:pPr>
      <w:rPr>
        <w:rFonts w:ascii="Arial" w:eastAsia="Arial" w:hAnsi="Arial" w:cs="Arial" w:hint="default"/>
        <w:w w:val="99"/>
        <w:sz w:val="24"/>
        <w:szCs w:val="24"/>
        <w:lang w:val="en-US" w:eastAsia="en-US" w:bidi="ar-SA"/>
      </w:rPr>
    </w:lvl>
    <w:lvl w:ilvl="2" w:tplc="FFFFFFFF">
      <w:numFmt w:val="bullet"/>
      <w:lvlText w:val="•"/>
      <w:lvlJc w:val="left"/>
      <w:pPr>
        <w:ind w:left="2475" w:hanging="360"/>
      </w:pPr>
      <w:rPr>
        <w:rFonts w:hint="default"/>
        <w:lang w:val="en-US" w:eastAsia="en-US" w:bidi="ar-SA"/>
      </w:rPr>
    </w:lvl>
    <w:lvl w:ilvl="3" w:tplc="FFFFFFFF">
      <w:numFmt w:val="bullet"/>
      <w:lvlText w:val="•"/>
      <w:lvlJc w:val="left"/>
      <w:pPr>
        <w:ind w:left="3371"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162" w:hanging="360"/>
      </w:pPr>
      <w:rPr>
        <w:rFonts w:hint="default"/>
        <w:lang w:val="en-US" w:eastAsia="en-US" w:bidi="ar-SA"/>
      </w:rPr>
    </w:lvl>
    <w:lvl w:ilvl="6" w:tplc="FFFFFFFF">
      <w:numFmt w:val="bullet"/>
      <w:lvlText w:val="•"/>
      <w:lvlJc w:val="left"/>
      <w:pPr>
        <w:ind w:left="6057" w:hanging="360"/>
      </w:pPr>
      <w:rPr>
        <w:rFonts w:hint="default"/>
        <w:lang w:val="en-US" w:eastAsia="en-US" w:bidi="ar-SA"/>
      </w:rPr>
    </w:lvl>
    <w:lvl w:ilvl="7" w:tplc="FFFFFFFF">
      <w:numFmt w:val="bullet"/>
      <w:lvlText w:val="•"/>
      <w:lvlJc w:val="left"/>
      <w:pPr>
        <w:ind w:left="6953" w:hanging="360"/>
      </w:pPr>
      <w:rPr>
        <w:rFonts w:hint="default"/>
        <w:lang w:val="en-US" w:eastAsia="en-US" w:bidi="ar-SA"/>
      </w:rPr>
    </w:lvl>
    <w:lvl w:ilvl="8" w:tplc="FFFFFFFF">
      <w:numFmt w:val="bullet"/>
      <w:lvlText w:val="•"/>
      <w:lvlJc w:val="left"/>
      <w:pPr>
        <w:ind w:left="7848" w:hanging="360"/>
      </w:pPr>
      <w:rPr>
        <w:rFonts w:hint="default"/>
        <w:lang w:val="en-US" w:eastAsia="en-US" w:bidi="ar-SA"/>
      </w:rPr>
    </w:lvl>
  </w:abstractNum>
  <w:abstractNum w:abstractNumId="12" w15:restartNumberingAfterBreak="0">
    <w:nsid w:val="6FA6152D"/>
    <w:multiLevelType w:val="multilevel"/>
    <w:tmpl w:val="131ECCC8"/>
    <w:lvl w:ilvl="0">
      <w:start w:val="3"/>
      <w:numFmt w:val="decimal"/>
      <w:lvlText w:val="%1"/>
      <w:lvlJc w:val="left"/>
      <w:pPr>
        <w:ind w:left="360" w:hanging="360"/>
      </w:pPr>
      <w:rPr>
        <w:rFonts w:hint="default"/>
      </w:rPr>
    </w:lvl>
    <w:lvl w:ilvl="1">
      <w:start w:val="5"/>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15:restartNumberingAfterBreak="0">
    <w:nsid w:val="77E156B6"/>
    <w:multiLevelType w:val="hybridMultilevel"/>
    <w:tmpl w:val="D6BC904E"/>
    <w:lvl w:ilvl="0" w:tplc="BEA8DC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174A7"/>
    <w:multiLevelType w:val="hybridMultilevel"/>
    <w:tmpl w:val="E1E0C862"/>
    <w:lvl w:ilvl="0" w:tplc="0E1241B4">
      <w:numFmt w:val="bullet"/>
      <w:lvlText w:val=""/>
      <w:lvlJc w:val="left"/>
      <w:pPr>
        <w:ind w:left="860" w:hanging="360"/>
      </w:pPr>
      <w:rPr>
        <w:rFonts w:ascii="Symbol" w:eastAsia="Symbol" w:hAnsi="Symbol" w:cs="Symbol" w:hint="default"/>
        <w:w w:val="100"/>
        <w:sz w:val="24"/>
        <w:szCs w:val="24"/>
        <w:lang w:val="en-US" w:eastAsia="en-US" w:bidi="ar-SA"/>
      </w:rPr>
    </w:lvl>
    <w:lvl w:ilvl="1" w:tplc="E19845E4">
      <w:numFmt w:val="bullet"/>
      <w:lvlText w:val="•"/>
      <w:lvlJc w:val="left"/>
      <w:pPr>
        <w:ind w:left="1738" w:hanging="360"/>
      </w:pPr>
      <w:rPr>
        <w:rFonts w:hint="default"/>
        <w:lang w:val="en-US" w:eastAsia="en-US" w:bidi="ar-SA"/>
      </w:rPr>
    </w:lvl>
    <w:lvl w:ilvl="2" w:tplc="89B2D1B6">
      <w:numFmt w:val="bullet"/>
      <w:lvlText w:val="•"/>
      <w:lvlJc w:val="left"/>
      <w:pPr>
        <w:ind w:left="2616" w:hanging="360"/>
      </w:pPr>
      <w:rPr>
        <w:rFonts w:hint="default"/>
        <w:lang w:val="en-US" w:eastAsia="en-US" w:bidi="ar-SA"/>
      </w:rPr>
    </w:lvl>
    <w:lvl w:ilvl="3" w:tplc="EAFAF7CC">
      <w:numFmt w:val="bullet"/>
      <w:lvlText w:val="•"/>
      <w:lvlJc w:val="left"/>
      <w:pPr>
        <w:ind w:left="3494" w:hanging="360"/>
      </w:pPr>
      <w:rPr>
        <w:rFonts w:hint="default"/>
        <w:lang w:val="en-US" w:eastAsia="en-US" w:bidi="ar-SA"/>
      </w:rPr>
    </w:lvl>
    <w:lvl w:ilvl="4" w:tplc="DCC0526E">
      <w:numFmt w:val="bullet"/>
      <w:lvlText w:val="•"/>
      <w:lvlJc w:val="left"/>
      <w:pPr>
        <w:ind w:left="4372" w:hanging="360"/>
      </w:pPr>
      <w:rPr>
        <w:rFonts w:hint="default"/>
        <w:lang w:val="en-US" w:eastAsia="en-US" w:bidi="ar-SA"/>
      </w:rPr>
    </w:lvl>
    <w:lvl w:ilvl="5" w:tplc="A8CE6FAC">
      <w:numFmt w:val="bullet"/>
      <w:lvlText w:val="•"/>
      <w:lvlJc w:val="left"/>
      <w:pPr>
        <w:ind w:left="5250" w:hanging="360"/>
      </w:pPr>
      <w:rPr>
        <w:rFonts w:hint="default"/>
        <w:lang w:val="en-US" w:eastAsia="en-US" w:bidi="ar-SA"/>
      </w:rPr>
    </w:lvl>
    <w:lvl w:ilvl="6" w:tplc="9A7E6AB6">
      <w:numFmt w:val="bullet"/>
      <w:lvlText w:val="•"/>
      <w:lvlJc w:val="left"/>
      <w:pPr>
        <w:ind w:left="6128" w:hanging="360"/>
      </w:pPr>
      <w:rPr>
        <w:rFonts w:hint="default"/>
        <w:lang w:val="en-US" w:eastAsia="en-US" w:bidi="ar-SA"/>
      </w:rPr>
    </w:lvl>
    <w:lvl w:ilvl="7" w:tplc="651EAFBA">
      <w:numFmt w:val="bullet"/>
      <w:lvlText w:val="•"/>
      <w:lvlJc w:val="left"/>
      <w:pPr>
        <w:ind w:left="7006" w:hanging="360"/>
      </w:pPr>
      <w:rPr>
        <w:rFonts w:hint="default"/>
        <w:lang w:val="en-US" w:eastAsia="en-US" w:bidi="ar-SA"/>
      </w:rPr>
    </w:lvl>
    <w:lvl w:ilvl="8" w:tplc="11C61AFA">
      <w:numFmt w:val="bullet"/>
      <w:lvlText w:val="•"/>
      <w:lvlJc w:val="left"/>
      <w:pPr>
        <w:ind w:left="7884" w:hanging="360"/>
      </w:pPr>
      <w:rPr>
        <w:rFonts w:hint="default"/>
        <w:lang w:val="en-US" w:eastAsia="en-US" w:bidi="ar-SA"/>
      </w:rPr>
    </w:lvl>
  </w:abstractNum>
  <w:num w:numId="1" w16cid:durableId="1163619605">
    <w:abstractNumId w:val="13"/>
  </w:num>
  <w:num w:numId="2" w16cid:durableId="388383494">
    <w:abstractNumId w:val="5"/>
  </w:num>
  <w:num w:numId="3" w16cid:durableId="504125923">
    <w:abstractNumId w:val="0"/>
  </w:num>
  <w:num w:numId="4" w16cid:durableId="1303079833">
    <w:abstractNumId w:val="14"/>
  </w:num>
  <w:num w:numId="5" w16cid:durableId="332496188">
    <w:abstractNumId w:val="4"/>
  </w:num>
  <w:num w:numId="6" w16cid:durableId="1745449898">
    <w:abstractNumId w:val="10"/>
  </w:num>
  <w:num w:numId="7" w16cid:durableId="378021150">
    <w:abstractNumId w:val="9"/>
  </w:num>
  <w:num w:numId="8" w16cid:durableId="1449853767">
    <w:abstractNumId w:val="2"/>
  </w:num>
  <w:num w:numId="9" w16cid:durableId="1047559353">
    <w:abstractNumId w:val="3"/>
  </w:num>
  <w:num w:numId="10" w16cid:durableId="1409762511">
    <w:abstractNumId w:val="12"/>
  </w:num>
  <w:num w:numId="11" w16cid:durableId="621234295">
    <w:abstractNumId w:val="6"/>
  </w:num>
  <w:num w:numId="12" w16cid:durableId="1358122783">
    <w:abstractNumId w:val="7"/>
  </w:num>
  <w:num w:numId="13" w16cid:durableId="1974367770">
    <w:abstractNumId w:val="1"/>
  </w:num>
  <w:num w:numId="14" w16cid:durableId="850216583">
    <w:abstractNumId w:val="8"/>
  </w:num>
  <w:num w:numId="15" w16cid:durableId="11043050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97"/>
    <w:rsid w:val="00003708"/>
    <w:rsid w:val="000218F2"/>
    <w:rsid w:val="000220E9"/>
    <w:rsid w:val="0002786E"/>
    <w:rsid w:val="000652D3"/>
    <w:rsid w:val="00082C72"/>
    <w:rsid w:val="00086525"/>
    <w:rsid w:val="00096D3B"/>
    <w:rsid w:val="000B7E0F"/>
    <w:rsid w:val="000D4910"/>
    <w:rsid w:val="000F105A"/>
    <w:rsid w:val="000F4C41"/>
    <w:rsid w:val="001012FC"/>
    <w:rsid w:val="00131159"/>
    <w:rsid w:val="00143505"/>
    <w:rsid w:val="00152C90"/>
    <w:rsid w:val="001D30C3"/>
    <w:rsid w:val="001D6560"/>
    <w:rsid w:val="001E39F5"/>
    <w:rsid w:val="001F25C5"/>
    <w:rsid w:val="001F4C1A"/>
    <w:rsid w:val="002074AF"/>
    <w:rsid w:val="00220393"/>
    <w:rsid w:val="002256B9"/>
    <w:rsid w:val="0022747E"/>
    <w:rsid w:val="00230D37"/>
    <w:rsid w:val="002361C2"/>
    <w:rsid w:val="002503BF"/>
    <w:rsid w:val="00251CD2"/>
    <w:rsid w:val="00253389"/>
    <w:rsid w:val="00265B0B"/>
    <w:rsid w:val="002745A4"/>
    <w:rsid w:val="00290317"/>
    <w:rsid w:val="002A1E17"/>
    <w:rsid w:val="002C045E"/>
    <w:rsid w:val="002D55AA"/>
    <w:rsid w:val="002E0C7F"/>
    <w:rsid w:val="00313010"/>
    <w:rsid w:val="003221CC"/>
    <w:rsid w:val="003335A6"/>
    <w:rsid w:val="003414FF"/>
    <w:rsid w:val="0035155C"/>
    <w:rsid w:val="00370226"/>
    <w:rsid w:val="00375F0F"/>
    <w:rsid w:val="003802A6"/>
    <w:rsid w:val="003847FE"/>
    <w:rsid w:val="00393165"/>
    <w:rsid w:val="00393EEE"/>
    <w:rsid w:val="00395BD5"/>
    <w:rsid w:val="0039662C"/>
    <w:rsid w:val="003B659B"/>
    <w:rsid w:val="003C1F69"/>
    <w:rsid w:val="003C7667"/>
    <w:rsid w:val="003D4584"/>
    <w:rsid w:val="003E3EBE"/>
    <w:rsid w:val="003E6E7D"/>
    <w:rsid w:val="003F6269"/>
    <w:rsid w:val="0040432A"/>
    <w:rsid w:val="00443100"/>
    <w:rsid w:val="00462F38"/>
    <w:rsid w:val="00467265"/>
    <w:rsid w:val="00475CE3"/>
    <w:rsid w:val="00477520"/>
    <w:rsid w:val="00486128"/>
    <w:rsid w:val="004E5D08"/>
    <w:rsid w:val="004E634E"/>
    <w:rsid w:val="004F0A89"/>
    <w:rsid w:val="004F512F"/>
    <w:rsid w:val="004F59BF"/>
    <w:rsid w:val="00515787"/>
    <w:rsid w:val="00515AF7"/>
    <w:rsid w:val="00532F71"/>
    <w:rsid w:val="00534E70"/>
    <w:rsid w:val="00541AD8"/>
    <w:rsid w:val="00566F0E"/>
    <w:rsid w:val="005760EF"/>
    <w:rsid w:val="0057634E"/>
    <w:rsid w:val="005772B8"/>
    <w:rsid w:val="00582F07"/>
    <w:rsid w:val="005849DC"/>
    <w:rsid w:val="005A555D"/>
    <w:rsid w:val="005C2F9F"/>
    <w:rsid w:val="005C5364"/>
    <w:rsid w:val="00610AE6"/>
    <w:rsid w:val="0061694C"/>
    <w:rsid w:val="00617E15"/>
    <w:rsid w:val="00645AEB"/>
    <w:rsid w:val="006808E8"/>
    <w:rsid w:val="006A11BD"/>
    <w:rsid w:val="006B0D2A"/>
    <w:rsid w:val="006B2A71"/>
    <w:rsid w:val="006B64D4"/>
    <w:rsid w:val="006E2500"/>
    <w:rsid w:val="00707F84"/>
    <w:rsid w:val="00712128"/>
    <w:rsid w:val="00764555"/>
    <w:rsid w:val="00770946"/>
    <w:rsid w:val="00794C86"/>
    <w:rsid w:val="00794EF5"/>
    <w:rsid w:val="00795A97"/>
    <w:rsid w:val="007B5839"/>
    <w:rsid w:val="007C22C1"/>
    <w:rsid w:val="007D493B"/>
    <w:rsid w:val="007F1CB1"/>
    <w:rsid w:val="007F2F8B"/>
    <w:rsid w:val="007F7FEA"/>
    <w:rsid w:val="00825409"/>
    <w:rsid w:val="00833E68"/>
    <w:rsid w:val="008344E8"/>
    <w:rsid w:val="0084166A"/>
    <w:rsid w:val="0087169D"/>
    <w:rsid w:val="008B07BF"/>
    <w:rsid w:val="008B5193"/>
    <w:rsid w:val="008B61ED"/>
    <w:rsid w:val="008B70D4"/>
    <w:rsid w:val="008C0B9C"/>
    <w:rsid w:val="008C61CB"/>
    <w:rsid w:val="008D2FD7"/>
    <w:rsid w:val="008E4AF3"/>
    <w:rsid w:val="008F1442"/>
    <w:rsid w:val="00903F4E"/>
    <w:rsid w:val="00906F2C"/>
    <w:rsid w:val="00907819"/>
    <w:rsid w:val="009353F6"/>
    <w:rsid w:val="00960DF4"/>
    <w:rsid w:val="00970AE2"/>
    <w:rsid w:val="0097453B"/>
    <w:rsid w:val="00985A9D"/>
    <w:rsid w:val="00995274"/>
    <w:rsid w:val="009B157E"/>
    <w:rsid w:val="009F1F7E"/>
    <w:rsid w:val="00A05B39"/>
    <w:rsid w:val="00A105EB"/>
    <w:rsid w:val="00A10EBE"/>
    <w:rsid w:val="00A1411F"/>
    <w:rsid w:val="00A1515E"/>
    <w:rsid w:val="00A25079"/>
    <w:rsid w:val="00A362FB"/>
    <w:rsid w:val="00A40808"/>
    <w:rsid w:val="00A42E67"/>
    <w:rsid w:val="00A50009"/>
    <w:rsid w:val="00A55664"/>
    <w:rsid w:val="00A60693"/>
    <w:rsid w:val="00A62CC8"/>
    <w:rsid w:val="00A7167B"/>
    <w:rsid w:val="00A95972"/>
    <w:rsid w:val="00AA7825"/>
    <w:rsid w:val="00AB79B4"/>
    <w:rsid w:val="00AC1A95"/>
    <w:rsid w:val="00AD3E1D"/>
    <w:rsid w:val="00AD60F9"/>
    <w:rsid w:val="00AE0715"/>
    <w:rsid w:val="00AE1768"/>
    <w:rsid w:val="00AF5EA5"/>
    <w:rsid w:val="00B07251"/>
    <w:rsid w:val="00B12E69"/>
    <w:rsid w:val="00B35346"/>
    <w:rsid w:val="00B43C78"/>
    <w:rsid w:val="00B45104"/>
    <w:rsid w:val="00B53F65"/>
    <w:rsid w:val="00B73AD6"/>
    <w:rsid w:val="00B74676"/>
    <w:rsid w:val="00B760FA"/>
    <w:rsid w:val="00B86AF5"/>
    <w:rsid w:val="00B952DA"/>
    <w:rsid w:val="00B952DC"/>
    <w:rsid w:val="00B97487"/>
    <w:rsid w:val="00BA4B12"/>
    <w:rsid w:val="00BC0425"/>
    <w:rsid w:val="00BF223B"/>
    <w:rsid w:val="00BF7D0A"/>
    <w:rsid w:val="00C01EFD"/>
    <w:rsid w:val="00C05387"/>
    <w:rsid w:val="00C114CD"/>
    <w:rsid w:val="00C40DCC"/>
    <w:rsid w:val="00C728A8"/>
    <w:rsid w:val="00C934C8"/>
    <w:rsid w:val="00CA2A0D"/>
    <w:rsid w:val="00CA7B99"/>
    <w:rsid w:val="00CB0EC5"/>
    <w:rsid w:val="00CB39ED"/>
    <w:rsid w:val="00CB3A91"/>
    <w:rsid w:val="00CC021D"/>
    <w:rsid w:val="00CC2000"/>
    <w:rsid w:val="00CF03FD"/>
    <w:rsid w:val="00D074F7"/>
    <w:rsid w:val="00D11BC9"/>
    <w:rsid w:val="00D14441"/>
    <w:rsid w:val="00D14F56"/>
    <w:rsid w:val="00D27210"/>
    <w:rsid w:val="00D43621"/>
    <w:rsid w:val="00D50560"/>
    <w:rsid w:val="00D844D3"/>
    <w:rsid w:val="00D85361"/>
    <w:rsid w:val="00DA2665"/>
    <w:rsid w:val="00DA3920"/>
    <w:rsid w:val="00DE49F8"/>
    <w:rsid w:val="00DF3274"/>
    <w:rsid w:val="00DF3444"/>
    <w:rsid w:val="00E41F0E"/>
    <w:rsid w:val="00E6062F"/>
    <w:rsid w:val="00E84EE7"/>
    <w:rsid w:val="00E90FD6"/>
    <w:rsid w:val="00EB6520"/>
    <w:rsid w:val="00EC141B"/>
    <w:rsid w:val="00ED7152"/>
    <w:rsid w:val="00EE1150"/>
    <w:rsid w:val="00F13AD0"/>
    <w:rsid w:val="00F70E23"/>
    <w:rsid w:val="00F77621"/>
    <w:rsid w:val="00FA52DF"/>
    <w:rsid w:val="00FB139E"/>
    <w:rsid w:val="00FB722E"/>
    <w:rsid w:val="00FD4361"/>
    <w:rsid w:val="00FD59C8"/>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0BF8"/>
  <w15:chartTrackingRefBased/>
  <w15:docId w15:val="{82D7F661-9E27-42D6-A571-64D72123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97"/>
    <w:pPr>
      <w:widowControl w:val="0"/>
      <w:autoSpaceDE w:val="0"/>
      <w:autoSpaceDN w:val="0"/>
      <w:spacing w:line="240" w:lineRule="auto"/>
      <w:jc w:val="left"/>
    </w:pPr>
    <w:rPr>
      <w:rFonts w:ascii="Arial" w:eastAsia="Arial" w:hAnsi="Arial" w:cs="Arial"/>
    </w:rPr>
  </w:style>
  <w:style w:type="paragraph" w:styleId="Heading1">
    <w:name w:val="heading 1"/>
    <w:basedOn w:val="ListParagraph"/>
    <w:next w:val="Normal"/>
    <w:link w:val="Heading1Char"/>
    <w:uiPriority w:val="9"/>
    <w:qFormat/>
    <w:rsid w:val="00467265"/>
    <w:pPr>
      <w:numPr>
        <w:numId w:val="2"/>
      </w:numPr>
      <w:outlineLvl w:val="0"/>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265"/>
    <w:rPr>
      <w:rFonts w:cstheme="minorHAnsi"/>
      <w:b/>
      <w:bCs/>
      <w:sz w:val="24"/>
      <w:szCs w:val="24"/>
    </w:rPr>
  </w:style>
  <w:style w:type="paragraph" w:styleId="ListParagraph">
    <w:name w:val="List Paragraph"/>
    <w:basedOn w:val="Normal"/>
    <w:uiPriority w:val="34"/>
    <w:qFormat/>
    <w:rsid w:val="00467265"/>
    <w:pPr>
      <w:ind w:left="720"/>
      <w:contextualSpacing/>
    </w:pPr>
  </w:style>
  <w:style w:type="paragraph" w:styleId="BodyText">
    <w:name w:val="Body Text"/>
    <w:basedOn w:val="Normal"/>
    <w:link w:val="BodyTextChar"/>
    <w:uiPriority w:val="1"/>
    <w:qFormat/>
    <w:rsid w:val="00795A97"/>
    <w:rPr>
      <w:sz w:val="24"/>
      <w:szCs w:val="24"/>
    </w:rPr>
  </w:style>
  <w:style w:type="character" w:customStyle="1" w:styleId="BodyTextChar">
    <w:name w:val="Body Text Char"/>
    <w:basedOn w:val="DefaultParagraphFont"/>
    <w:link w:val="BodyText"/>
    <w:uiPriority w:val="1"/>
    <w:rsid w:val="00795A97"/>
    <w:rPr>
      <w:rFonts w:ascii="Arial" w:eastAsia="Arial" w:hAnsi="Arial" w:cs="Arial"/>
      <w:sz w:val="24"/>
      <w:szCs w:val="24"/>
    </w:rPr>
  </w:style>
  <w:style w:type="paragraph" w:styleId="Title">
    <w:name w:val="Title"/>
    <w:basedOn w:val="Normal"/>
    <w:link w:val="TitleChar"/>
    <w:uiPriority w:val="10"/>
    <w:qFormat/>
    <w:rsid w:val="00795A97"/>
    <w:pPr>
      <w:spacing w:before="68"/>
      <w:ind w:left="1808" w:right="1811" w:firstLine="669"/>
    </w:pPr>
    <w:rPr>
      <w:b/>
      <w:bCs/>
      <w:sz w:val="28"/>
      <w:szCs w:val="28"/>
    </w:rPr>
  </w:style>
  <w:style w:type="character" w:customStyle="1" w:styleId="TitleChar">
    <w:name w:val="Title Char"/>
    <w:basedOn w:val="DefaultParagraphFont"/>
    <w:link w:val="Title"/>
    <w:uiPriority w:val="10"/>
    <w:rsid w:val="00795A97"/>
    <w:rPr>
      <w:rFonts w:ascii="Arial" w:eastAsia="Arial" w:hAnsi="Arial" w:cs="Arial"/>
      <w:b/>
      <w:bCs/>
      <w:sz w:val="28"/>
      <w:szCs w:val="28"/>
    </w:rPr>
  </w:style>
  <w:style w:type="paragraph" w:customStyle="1" w:styleId="TableParagraph">
    <w:name w:val="Table Paragraph"/>
    <w:basedOn w:val="Normal"/>
    <w:uiPriority w:val="1"/>
    <w:qFormat/>
    <w:rsid w:val="00795A97"/>
    <w:pPr>
      <w:ind w:left="107"/>
    </w:pPr>
  </w:style>
  <w:style w:type="table" w:styleId="TableGrid">
    <w:name w:val="Table Grid"/>
    <w:basedOn w:val="TableNormal"/>
    <w:uiPriority w:val="59"/>
    <w:rsid w:val="008E4A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694C"/>
    <w:pPr>
      <w:spacing w:line="240" w:lineRule="auto"/>
      <w:jc w:val="left"/>
    </w:pPr>
    <w:rPr>
      <w:rFonts w:ascii="Arial" w:eastAsia="Arial" w:hAnsi="Arial" w:cs="Arial"/>
    </w:rPr>
  </w:style>
  <w:style w:type="character" w:styleId="CommentReference">
    <w:name w:val="annotation reference"/>
    <w:basedOn w:val="DefaultParagraphFont"/>
    <w:uiPriority w:val="99"/>
    <w:semiHidden/>
    <w:unhideWhenUsed/>
    <w:rsid w:val="00E6062F"/>
    <w:rPr>
      <w:sz w:val="16"/>
      <w:szCs w:val="16"/>
    </w:rPr>
  </w:style>
  <w:style w:type="paragraph" w:styleId="CommentText">
    <w:name w:val="annotation text"/>
    <w:basedOn w:val="Normal"/>
    <w:link w:val="CommentTextChar"/>
    <w:uiPriority w:val="99"/>
    <w:semiHidden/>
    <w:unhideWhenUsed/>
    <w:rsid w:val="00E6062F"/>
    <w:rPr>
      <w:sz w:val="20"/>
      <w:szCs w:val="20"/>
    </w:rPr>
  </w:style>
  <w:style w:type="character" w:customStyle="1" w:styleId="CommentTextChar">
    <w:name w:val="Comment Text Char"/>
    <w:basedOn w:val="DefaultParagraphFont"/>
    <w:link w:val="CommentText"/>
    <w:uiPriority w:val="99"/>
    <w:semiHidden/>
    <w:rsid w:val="00E6062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6062F"/>
    <w:rPr>
      <w:b/>
      <w:bCs/>
    </w:rPr>
  </w:style>
  <w:style w:type="character" w:customStyle="1" w:styleId="CommentSubjectChar">
    <w:name w:val="Comment Subject Char"/>
    <w:basedOn w:val="CommentTextChar"/>
    <w:link w:val="CommentSubject"/>
    <w:uiPriority w:val="99"/>
    <w:semiHidden/>
    <w:rsid w:val="00E6062F"/>
    <w:rPr>
      <w:rFonts w:ascii="Arial" w:eastAsia="Arial" w:hAnsi="Arial" w:cs="Arial"/>
      <w:b/>
      <w:bCs/>
      <w:sz w:val="20"/>
      <w:szCs w:val="20"/>
    </w:rPr>
  </w:style>
  <w:style w:type="paragraph" w:styleId="Header">
    <w:name w:val="header"/>
    <w:basedOn w:val="Normal"/>
    <w:link w:val="HeaderChar"/>
    <w:uiPriority w:val="99"/>
    <w:unhideWhenUsed/>
    <w:rsid w:val="00617E15"/>
    <w:pPr>
      <w:tabs>
        <w:tab w:val="center" w:pos="4680"/>
        <w:tab w:val="right" w:pos="9360"/>
      </w:tabs>
    </w:pPr>
  </w:style>
  <w:style w:type="character" w:customStyle="1" w:styleId="HeaderChar">
    <w:name w:val="Header Char"/>
    <w:basedOn w:val="DefaultParagraphFont"/>
    <w:link w:val="Header"/>
    <w:uiPriority w:val="99"/>
    <w:rsid w:val="00617E15"/>
    <w:rPr>
      <w:rFonts w:ascii="Arial" w:eastAsia="Arial" w:hAnsi="Arial" w:cs="Arial"/>
    </w:rPr>
  </w:style>
  <w:style w:type="paragraph" w:styleId="Footer">
    <w:name w:val="footer"/>
    <w:basedOn w:val="Normal"/>
    <w:link w:val="FooterChar"/>
    <w:uiPriority w:val="99"/>
    <w:unhideWhenUsed/>
    <w:rsid w:val="00617E15"/>
    <w:pPr>
      <w:tabs>
        <w:tab w:val="center" w:pos="4680"/>
        <w:tab w:val="right" w:pos="9360"/>
      </w:tabs>
    </w:pPr>
  </w:style>
  <w:style w:type="character" w:customStyle="1" w:styleId="FooterChar">
    <w:name w:val="Footer Char"/>
    <w:basedOn w:val="DefaultParagraphFont"/>
    <w:link w:val="Footer"/>
    <w:uiPriority w:val="99"/>
    <w:rsid w:val="00617E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665C-1132-4A88-9A14-9363A32E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Melick, Karen</dc:creator>
  <cp:keywords/>
  <dc:description/>
  <cp:lastModifiedBy>Karen Melick</cp:lastModifiedBy>
  <cp:revision>8</cp:revision>
  <cp:lastPrinted>2022-10-11T21:40:00Z</cp:lastPrinted>
  <dcterms:created xsi:type="dcterms:W3CDTF">2022-10-11T21:41:00Z</dcterms:created>
  <dcterms:modified xsi:type="dcterms:W3CDTF">2022-10-11T22:47:00Z</dcterms:modified>
</cp:coreProperties>
</file>